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FB71" w14:textId="195E84AF" w:rsidR="00A342D3" w:rsidRPr="00732F49" w:rsidRDefault="00732F49" w:rsidP="00732F49">
      <w:pPr>
        <w:pStyle w:val="ListParagraph"/>
        <w:ind w:left="0"/>
        <w:jc w:val="center"/>
        <w:rPr>
          <w:b/>
          <w:sz w:val="24"/>
          <w:lang w:val="es-MX"/>
        </w:rPr>
      </w:pPr>
      <w:r>
        <w:rPr>
          <w:b/>
          <w:sz w:val="24"/>
          <w:lang w:val="es-MX"/>
        </w:rPr>
        <w:t xml:space="preserve">Cambios </w:t>
      </w:r>
      <w:r w:rsidRPr="00732F49">
        <w:rPr>
          <w:b/>
          <w:sz w:val="24"/>
          <w:lang w:val="es-MX"/>
        </w:rPr>
        <w:t>importantes</w:t>
      </w:r>
      <w:r w:rsidR="00A342D3" w:rsidRPr="00732F49">
        <w:rPr>
          <w:b/>
          <w:sz w:val="24"/>
          <w:lang w:val="es-MX"/>
        </w:rPr>
        <w:br/>
      </w:r>
      <w:r>
        <w:rPr>
          <w:b/>
          <w:sz w:val="24"/>
          <w:lang w:val="es-MX"/>
        </w:rPr>
        <w:t xml:space="preserve">de la </w:t>
      </w:r>
      <w:r w:rsidR="00A342D3" w:rsidRPr="00732F49">
        <w:rPr>
          <w:b/>
          <w:sz w:val="24"/>
          <w:lang w:val="es-MX"/>
        </w:rPr>
        <w:t xml:space="preserve">Version 1.1 </w:t>
      </w:r>
      <w:r>
        <w:rPr>
          <w:b/>
          <w:sz w:val="24"/>
          <w:lang w:val="es-MX"/>
        </w:rPr>
        <w:t>a la</w:t>
      </w:r>
      <w:r w:rsidR="00A342D3" w:rsidRPr="00732F49">
        <w:rPr>
          <w:b/>
          <w:sz w:val="24"/>
          <w:lang w:val="es-MX"/>
        </w:rPr>
        <w:t xml:space="preserve"> Version 1.2</w:t>
      </w:r>
    </w:p>
    <w:p w14:paraId="7381A932" w14:textId="37D4C673" w:rsidR="00587610" w:rsidRPr="00F269DD" w:rsidRDefault="00587610" w:rsidP="00732F49">
      <w:pPr>
        <w:pStyle w:val="ListParagraph"/>
        <w:ind w:left="0"/>
      </w:pPr>
    </w:p>
    <w:tbl>
      <w:tblPr>
        <w:tblStyle w:val="TableGrid"/>
        <w:tblW w:w="10801" w:type="dxa"/>
        <w:tblInd w:w="-455" w:type="dxa"/>
        <w:tblLook w:val="04A0" w:firstRow="1" w:lastRow="0" w:firstColumn="1" w:lastColumn="0" w:noHBand="0" w:noVBand="1"/>
      </w:tblPr>
      <w:tblGrid>
        <w:gridCol w:w="1527"/>
        <w:gridCol w:w="1239"/>
        <w:gridCol w:w="3715"/>
        <w:gridCol w:w="4320"/>
      </w:tblGrid>
      <w:tr w:rsidR="00622FBF" w:rsidRPr="00732F49" w14:paraId="2DD23C9B" w14:textId="77777777" w:rsidTr="005F68B1">
        <w:trPr>
          <w:trHeight w:val="250"/>
          <w:tblHeader/>
        </w:trPr>
        <w:tc>
          <w:tcPr>
            <w:tcW w:w="1527" w:type="dxa"/>
            <w:shd w:val="clear" w:color="auto" w:fill="E7E6E6" w:themeFill="background2"/>
          </w:tcPr>
          <w:p w14:paraId="4355212D" w14:textId="286431F7" w:rsidR="00587610" w:rsidRPr="00732F49" w:rsidRDefault="00587610" w:rsidP="00732F49">
            <w:pPr>
              <w:rPr>
                <w:b/>
                <w:lang w:val="es-MX"/>
              </w:rPr>
            </w:pPr>
            <w:r w:rsidRPr="00587610">
              <w:rPr>
                <w:b/>
              </w:rPr>
              <w:t>M</w:t>
            </w:r>
            <w:r w:rsidR="00732F49">
              <w:rPr>
                <w:b/>
                <w:lang w:val="es-MX"/>
              </w:rPr>
              <w:t>ódulo</w:t>
            </w:r>
          </w:p>
        </w:tc>
        <w:tc>
          <w:tcPr>
            <w:tcW w:w="1239" w:type="dxa"/>
            <w:shd w:val="clear" w:color="auto" w:fill="E7E6E6" w:themeFill="background2"/>
          </w:tcPr>
          <w:p w14:paraId="1B9E991A" w14:textId="3DE614E5" w:rsidR="00587610" w:rsidRPr="00587610" w:rsidRDefault="00732F49" w:rsidP="00587610">
            <w:pPr>
              <w:rPr>
                <w:b/>
              </w:rPr>
            </w:pPr>
            <w:r>
              <w:rPr>
                <w:b/>
              </w:rPr>
              <w:t>Diapositiva</w:t>
            </w:r>
          </w:p>
        </w:tc>
        <w:tc>
          <w:tcPr>
            <w:tcW w:w="3715" w:type="dxa"/>
            <w:shd w:val="clear" w:color="auto" w:fill="E7E6E6" w:themeFill="background2"/>
          </w:tcPr>
          <w:p w14:paraId="357C3BF9" w14:textId="677990C7" w:rsidR="00587610" w:rsidRPr="00587610" w:rsidRDefault="00732F49" w:rsidP="00A342D3">
            <w:pPr>
              <w:rPr>
                <w:b/>
              </w:rPr>
            </w:pPr>
            <w:r>
              <w:rPr>
                <w:b/>
              </w:rPr>
              <w:t>Resumen de los cambios</w:t>
            </w:r>
          </w:p>
        </w:tc>
        <w:tc>
          <w:tcPr>
            <w:tcW w:w="4320" w:type="dxa"/>
            <w:shd w:val="clear" w:color="auto" w:fill="E7E6E6" w:themeFill="background2"/>
          </w:tcPr>
          <w:p w14:paraId="44127670" w14:textId="4F2908F4" w:rsidR="00587610" w:rsidRPr="00732F49" w:rsidRDefault="00732F49" w:rsidP="00732F49">
            <w:pPr>
              <w:rPr>
                <w:b/>
                <w:lang w:val="es-MX"/>
              </w:rPr>
            </w:pPr>
            <w:r w:rsidRPr="00732F49">
              <w:rPr>
                <w:b/>
                <w:lang w:val="es-MX"/>
              </w:rPr>
              <w:t>Notas para los instructores</w:t>
            </w:r>
            <w:r w:rsidR="009A3706" w:rsidRPr="00732F49">
              <w:rPr>
                <w:b/>
                <w:lang w:val="es-MX"/>
              </w:rPr>
              <w:t>/</w:t>
            </w:r>
            <w:r>
              <w:rPr>
                <w:b/>
                <w:lang w:val="es-MX"/>
              </w:rPr>
              <w:t>participantes del curso</w:t>
            </w:r>
            <w:r w:rsidR="001179A5">
              <w:rPr>
                <w:b/>
                <w:lang w:val="es-MX"/>
              </w:rPr>
              <w:t>. Motivos del cambio.</w:t>
            </w:r>
          </w:p>
        </w:tc>
      </w:tr>
      <w:tr w:rsidR="006725F0" w:rsidRPr="00732F49" w14:paraId="7E21D2D0" w14:textId="77777777" w:rsidTr="00622FBF">
        <w:trPr>
          <w:trHeight w:val="250"/>
        </w:trPr>
        <w:tc>
          <w:tcPr>
            <w:tcW w:w="1527" w:type="dxa"/>
          </w:tcPr>
          <w:p w14:paraId="7F95F668" w14:textId="37FBCA97" w:rsidR="00F269DD" w:rsidRPr="001179A5" w:rsidRDefault="00732F49" w:rsidP="00F269DD">
            <w:pPr>
              <w:jc w:val="center"/>
              <w:rPr>
                <w:lang w:val="es-MX"/>
              </w:rPr>
            </w:pPr>
            <w:r w:rsidRPr="001179A5">
              <w:rPr>
                <w:lang w:val="es-MX"/>
              </w:rPr>
              <w:t>Todos</w:t>
            </w:r>
          </w:p>
        </w:tc>
        <w:tc>
          <w:tcPr>
            <w:tcW w:w="1239" w:type="dxa"/>
          </w:tcPr>
          <w:p w14:paraId="776A4E52" w14:textId="4D00C81F" w:rsidR="00F269DD" w:rsidRPr="001179A5" w:rsidRDefault="00732F49" w:rsidP="00F269DD">
            <w:pPr>
              <w:jc w:val="center"/>
              <w:rPr>
                <w:lang w:val="es-MX"/>
              </w:rPr>
            </w:pPr>
            <w:r w:rsidRPr="001179A5">
              <w:rPr>
                <w:lang w:val="es-MX"/>
              </w:rPr>
              <w:t>Todas</w:t>
            </w:r>
          </w:p>
        </w:tc>
        <w:tc>
          <w:tcPr>
            <w:tcW w:w="3715" w:type="dxa"/>
          </w:tcPr>
          <w:p w14:paraId="1DEA018B" w14:textId="1E5E7882" w:rsidR="00F269DD" w:rsidRPr="00732F49" w:rsidRDefault="00732F49" w:rsidP="00732F49">
            <w:pPr>
              <w:rPr>
                <w:lang w:val="es-MX"/>
              </w:rPr>
            </w:pPr>
            <w:r w:rsidRPr="00732F49">
              <w:rPr>
                <w:lang w:val="es-MX"/>
              </w:rPr>
              <w:t>Uso del término ‘Norma de inocuidad de los productos agr</w:t>
            </w:r>
            <w:r>
              <w:rPr>
                <w:lang w:val="es-MX"/>
              </w:rPr>
              <w:t>ícolas frescos de FSMA</w:t>
            </w:r>
            <w:r w:rsidRPr="00732F49">
              <w:rPr>
                <w:lang w:val="es-MX"/>
              </w:rPr>
              <w:t>’</w:t>
            </w:r>
            <w:r w:rsidR="00F269DD" w:rsidRPr="00732F49">
              <w:rPr>
                <w:lang w:val="es-MX"/>
              </w:rPr>
              <w:t xml:space="preserve"> </w:t>
            </w:r>
            <w:r>
              <w:rPr>
                <w:lang w:val="es-MX"/>
              </w:rPr>
              <w:t xml:space="preserve">para hacer referencia a la regulación. </w:t>
            </w:r>
          </w:p>
        </w:tc>
        <w:tc>
          <w:tcPr>
            <w:tcW w:w="4320" w:type="dxa"/>
          </w:tcPr>
          <w:p w14:paraId="7EA56462" w14:textId="0E6F87AA" w:rsidR="00F269DD" w:rsidRPr="00732F49" w:rsidRDefault="004B1601" w:rsidP="00732F49">
            <w:pPr>
              <w:rPr>
                <w:lang w:val="es-MX"/>
              </w:rPr>
            </w:pPr>
            <w:r w:rsidRPr="00732F49">
              <w:rPr>
                <w:lang w:val="es-MX"/>
              </w:rPr>
              <w:t>Cons</w:t>
            </w:r>
            <w:r w:rsidR="00732F49">
              <w:rPr>
                <w:lang w:val="es-MX"/>
              </w:rPr>
              <w:t>istencia</w:t>
            </w:r>
          </w:p>
        </w:tc>
      </w:tr>
      <w:tr w:rsidR="006725F0" w:rsidRPr="001179A5" w14:paraId="36E29BBA" w14:textId="77777777" w:rsidTr="00622FBF">
        <w:trPr>
          <w:trHeight w:val="250"/>
        </w:trPr>
        <w:tc>
          <w:tcPr>
            <w:tcW w:w="1527" w:type="dxa"/>
          </w:tcPr>
          <w:p w14:paraId="1D6E1EC6" w14:textId="6BF2F124" w:rsidR="00DA3CC2" w:rsidRPr="00732F49" w:rsidRDefault="00732F49" w:rsidP="00F269DD">
            <w:pPr>
              <w:jc w:val="center"/>
              <w:rPr>
                <w:lang w:val="es-MX"/>
              </w:rPr>
            </w:pPr>
            <w:r w:rsidRPr="00732F49">
              <w:rPr>
                <w:lang w:val="es-MX"/>
              </w:rPr>
              <w:t>Todos</w:t>
            </w:r>
          </w:p>
        </w:tc>
        <w:tc>
          <w:tcPr>
            <w:tcW w:w="1239" w:type="dxa"/>
          </w:tcPr>
          <w:p w14:paraId="42D925E6" w14:textId="6D1D8A74" w:rsidR="00DA3CC2" w:rsidRPr="00732F49" w:rsidRDefault="00732F49" w:rsidP="00F269DD">
            <w:pPr>
              <w:jc w:val="center"/>
              <w:rPr>
                <w:lang w:val="es-MX"/>
              </w:rPr>
            </w:pPr>
            <w:r>
              <w:rPr>
                <w:lang w:val="es-MX"/>
              </w:rPr>
              <w:t>Varias</w:t>
            </w:r>
          </w:p>
        </w:tc>
        <w:tc>
          <w:tcPr>
            <w:tcW w:w="3715" w:type="dxa"/>
          </w:tcPr>
          <w:p w14:paraId="488FE1C7" w14:textId="5F03440C" w:rsidR="00DA3CC2" w:rsidRPr="00732F49" w:rsidRDefault="001179A5" w:rsidP="001179A5">
            <w:pPr>
              <w:rPr>
                <w:lang w:val="es-MX"/>
              </w:rPr>
            </w:pPr>
            <w:r>
              <w:rPr>
                <w:lang w:val="es-MX"/>
              </w:rPr>
              <w:t>Cambio de fotos</w:t>
            </w:r>
            <w:r w:rsidR="00732F49">
              <w:rPr>
                <w:lang w:val="es-MX"/>
              </w:rPr>
              <w:t xml:space="preserve"> en </w:t>
            </w:r>
            <w:r>
              <w:rPr>
                <w:lang w:val="es-MX"/>
              </w:rPr>
              <w:t>varia</w:t>
            </w:r>
            <w:r w:rsidR="00732F49">
              <w:rPr>
                <w:lang w:val="es-MX"/>
              </w:rPr>
              <w:t>s diapositivas.</w:t>
            </w:r>
          </w:p>
        </w:tc>
        <w:tc>
          <w:tcPr>
            <w:tcW w:w="4320" w:type="dxa"/>
          </w:tcPr>
          <w:p w14:paraId="1F405393" w14:textId="704579B4" w:rsidR="00DA3CC2" w:rsidRPr="001179A5" w:rsidRDefault="001179A5" w:rsidP="00A342D3">
            <w:pPr>
              <w:rPr>
                <w:lang w:val="es-ES"/>
              </w:rPr>
            </w:pPr>
            <w:r>
              <w:rPr>
                <w:lang w:val="es-ES"/>
              </w:rPr>
              <w:t>Para reflejar</w:t>
            </w:r>
            <w:r w:rsidR="00732F49">
              <w:rPr>
                <w:lang w:val="es-ES"/>
              </w:rPr>
              <w:t xml:space="preserve"> la diversidad racial y de género</w:t>
            </w:r>
            <w:r>
              <w:rPr>
                <w:lang w:val="es-ES"/>
              </w:rPr>
              <w:t xml:space="preserve">, y la diversidad de prácticas agrícolas en las huertas estadounidenses, y para </w:t>
            </w:r>
            <w:r w:rsidR="00732F49" w:rsidRPr="00732F49">
              <w:rPr>
                <w:lang w:val="es-ES"/>
              </w:rPr>
              <w:t xml:space="preserve">reemplazar las imágenes de baja calidad. Los </w:t>
            </w:r>
            <w:r>
              <w:rPr>
                <w:lang w:val="es-ES"/>
              </w:rPr>
              <w:t>instructores</w:t>
            </w:r>
            <w:r w:rsidR="00732F49" w:rsidRPr="00732F49">
              <w:rPr>
                <w:lang w:val="es-ES"/>
              </w:rPr>
              <w:t xml:space="preserve"> pueden continuar agregando o usando diferentes fotos para satisfacer las necesidades de sus audiencias según la política de uso del plan de estudios.</w:t>
            </w:r>
          </w:p>
        </w:tc>
      </w:tr>
      <w:tr w:rsidR="006725F0" w:rsidRPr="00284E3B" w14:paraId="7D8A62A1" w14:textId="77777777" w:rsidTr="00622FBF">
        <w:trPr>
          <w:trHeight w:val="250"/>
        </w:trPr>
        <w:tc>
          <w:tcPr>
            <w:tcW w:w="1527" w:type="dxa"/>
          </w:tcPr>
          <w:p w14:paraId="649841BE" w14:textId="77777777" w:rsidR="00F269DD" w:rsidRDefault="00F269DD" w:rsidP="00F269DD">
            <w:pPr>
              <w:jc w:val="center"/>
            </w:pPr>
            <w:r>
              <w:t>1</w:t>
            </w:r>
          </w:p>
        </w:tc>
        <w:tc>
          <w:tcPr>
            <w:tcW w:w="1239" w:type="dxa"/>
          </w:tcPr>
          <w:p w14:paraId="176FD3A0" w14:textId="77777777" w:rsidR="00F269DD" w:rsidRDefault="00F269DD" w:rsidP="00F269DD">
            <w:pPr>
              <w:jc w:val="center"/>
            </w:pPr>
            <w:r>
              <w:t>19-23</w:t>
            </w:r>
          </w:p>
        </w:tc>
        <w:tc>
          <w:tcPr>
            <w:tcW w:w="3715" w:type="dxa"/>
          </w:tcPr>
          <w:p w14:paraId="7CBDFE7A" w14:textId="0FEB803E" w:rsidR="00F269DD" w:rsidRPr="00284E3B" w:rsidRDefault="001179A5" w:rsidP="00284E3B">
            <w:pPr>
              <w:rPr>
                <w:lang w:val="es-MX"/>
              </w:rPr>
            </w:pPr>
            <w:r w:rsidRPr="001179A5">
              <w:rPr>
                <w:lang w:val="es-MX"/>
              </w:rPr>
              <w:t>Las diapositivas</w:t>
            </w:r>
            <w:r w:rsidR="00F269DD" w:rsidRPr="001179A5">
              <w:rPr>
                <w:lang w:val="es-MX"/>
              </w:rPr>
              <w:t xml:space="preserve"> 19-23 </w:t>
            </w:r>
            <w:r w:rsidRPr="001179A5">
              <w:rPr>
                <w:lang w:val="es-MX"/>
              </w:rPr>
              <w:t>de la</w:t>
            </w:r>
            <w:r w:rsidR="00F269DD" w:rsidRPr="001179A5">
              <w:rPr>
                <w:lang w:val="es-MX"/>
              </w:rPr>
              <w:t xml:space="preserve"> V 1.1 </w:t>
            </w:r>
            <w:r w:rsidRPr="001179A5">
              <w:rPr>
                <w:lang w:val="es-MX"/>
              </w:rPr>
              <w:t>han cambiado de orden en la</w:t>
            </w:r>
            <w:r w:rsidR="00F269DD" w:rsidRPr="001179A5">
              <w:rPr>
                <w:lang w:val="es-MX"/>
              </w:rPr>
              <w:t xml:space="preserve"> V 1.2 </w:t>
            </w:r>
            <w:r>
              <w:rPr>
                <w:lang w:val="es-MX"/>
              </w:rPr>
              <w:t>para coincidir con el orden de presentación del currículo</w:t>
            </w:r>
            <w:r w:rsidR="00F269DD" w:rsidRPr="001179A5">
              <w:rPr>
                <w:lang w:val="es-MX"/>
              </w:rPr>
              <w:t xml:space="preserve">. </w:t>
            </w:r>
            <w:r w:rsidRPr="001179A5">
              <w:rPr>
                <w:lang w:val="es-MX"/>
              </w:rPr>
              <w:t>La re-organización de las diapositivas para la</w:t>
            </w:r>
            <w:r w:rsidR="00F269DD" w:rsidRPr="001179A5">
              <w:rPr>
                <w:lang w:val="es-MX"/>
              </w:rPr>
              <w:t xml:space="preserve"> V 1.1 </w:t>
            </w:r>
            <w:r w:rsidRPr="001179A5">
              <w:rPr>
                <w:lang w:val="es-MX"/>
              </w:rPr>
              <w:t>debe hacerse en el siguiente orden</w:t>
            </w:r>
            <w:r>
              <w:rPr>
                <w:lang w:val="es-MX"/>
              </w:rPr>
              <w:t xml:space="preserve">: 19, 22, 20, 21 y </w:t>
            </w:r>
            <w:r w:rsidR="00284E3B">
              <w:rPr>
                <w:lang w:val="es-MX"/>
              </w:rPr>
              <w:t xml:space="preserve">23 </w:t>
            </w:r>
            <w:r w:rsidR="00F269DD" w:rsidRPr="00284E3B">
              <w:rPr>
                <w:lang w:val="es-MX"/>
              </w:rPr>
              <w:t>(</w:t>
            </w:r>
            <w:r w:rsidRPr="00284E3B">
              <w:rPr>
                <w:lang w:val="es-MX"/>
              </w:rPr>
              <w:t>Trabajadores, Suelo, Animales, Agua, Sa</w:t>
            </w:r>
            <w:r w:rsidR="00284E3B" w:rsidRPr="00284E3B">
              <w:rPr>
                <w:lang w:val="es-MX"/>
              </w:rPr>
              <w:t>neamiento</w:t>
            </w:r>
            <w:r w:rsidR="00F269DD" w:rsidRPr="00284E3B">
              <w:rPr>
                <w:lang w:val="es-MX"/>
              </w:rPr>
              <w:t>)</w:t>
            </w:r>
            <w:r w:rsidR="00284E3B">
              <w:rPr>
                <w:lang w:val="es-MX"/>
              </w:rPr>
              <w:t>.</w:t>
            </w:r>
          </w:p>
        </w:tc>
        <w:tc>
          <w:tcPr>
            <w:tcW w:w="4320" w:type="dxa"/>
          </w:tcPr>
          <w:p w14:paraId="2DF11EDC" w14:textId="14274486" w:rsidR="00F269DD" w:rsidRPr="00284E3B" w:rsidRDefault="00284E3B" w:rsidP="00A342D3">
            <w:pPr>
              <w:rPr>
                <w:lang w:val="es-MX"/>
              </w:rPr>
            </w:pPr>
            <w:r w:rsidRPr="00284E3B">
              <w:rPr>
                <w:lang w:val="es-ES"/>
              </w:rPr>
              <w:t xml:space="preserve">Algunos instructores de </w:t>
            </w:r>
            <w:r>
              <w:rPr>
                <w:lang w:val="es-ES"/>
              </w:rPr>
              <w:t>la Alianza (</w:t>
            </w:r>
            <w:r w:rsidRPr="00284E3B">
              <w:rPr>
                <w:lang w:val="es-ES"/>
              </w:rPr>
              <w:t>PSA</w:t>
            </w:r>
            <w:r>
              <w:rPr>
                <w:lang w:val="es-ES"/>
              </w:rPr>
              <w:t>)</w:t>
            </w:r>
            <w:r w:rsidRPr="00284E3B">
              <w:rPr>
                <w:lang w:val="es-ES"/>
              </w:rPr>
              <w:t xml:space="preserve"> </w:t>
            </w:r>
            <w:r>
              <w:rPr>
                <w:lang w:val="es-ES"/>
              </w:rPr>
              <w:t>notaron</w:t>
            </w:r>
            <w:r w:rsidRPr="00284E3B">
              <w:rPr>
                <w:lang w:val="es-ES"/>
              </w:rPr>
              <w:t xml:space="preserve"> que el orden de las diapositivas no coincidía con el orden </w:t>
            </w:r>
            <w:r>
              <w:rPr>
                <w:lang w:val="es-ES"/>
              </w:rPr>
              <w:t>en que se presentan los</w:t>
            </w:r>
            <w:r w:rsidRPr="00284E3B">
              <w:rPr>
                <w:lang w:val="es-ES"/>
              </w:rPr>
              <w:t xml:space="preserve"> módulo</w:t>
            </w:r>
            <w:r>
              <w:rPr>
                <w:lang w:val="es-ES"/>
              </w:rPr>
              <w:t>s</w:t>
            </w:r>
            <w:r w:rsidRPr="00284E3B">
              <w:rPr>
                <w:lang w:val="es-ES"/>
              </w:rPr>
              <w:t xml:space="preserve">, por lo </w:t>
            </w:r>
            <w:r>
              <w:rPr>
                <w:lang w:val="es-ES"/>
              </w:rPr>
              <w:t>tanto, se hizo la corrección.</w:t>
            </w:r>
            <w:r w:rsidRPr="00284E3B">
              <w:rPr>
                <w:lang w:val="es-ES"/>
              </w:rPr>
              <w:t xml:space="preserve"> Los </w:t>
            </w:r>
            <w:r>
              <w:rPr>
                <w:lang w:val="es-ES"/>
              </w:rPr>
              <w:t xml:space="preserve">instructores </w:t>
            </w:r>
            <w:r w:rsidRPr="00284E3B">
              <w:rPr>
                <w:lang w:val="es-ES"/>
              </w:rPr>
              <w:t xml:space="preserve">pueden </w:t>
            </w:r>
            <w:r>
              <w:rPr>
                <w:lang w:val="es-ES"/>
              </w:rPr>
              <w:t>presentar las</w:t>
            </w:r>
            <w:r w:rsidRPr="00284E3B">
              <w:rPr>
                <w:lang w:val="es-ES"/>
              </w:rPr>
              <w:t xml:space="preserve"> diapositivas en un orden diferente según la política de uso del </w:t>
            </w:r>
            <w:r>
              <w:rPr>
                <w:lang w:val="es-ES"/>
              </w:rPr>
              <w:t>currículo</w:t>
            </w:r>
            <w:r w:rsidRPr="00284E3B">
              <w:rPr>
                <w:lang w:val="es-ES"/>
              </w:rPr>
              <w:t xml:space="preserve">, reconociendo que </w:t>
            </w:r>
            <w:r>
              <w:rPr>
                <w:lang w:val="es-ES"/>
              </w:rPr>
              <w:t>el orden de aparición no coincidirá</w:t>
            </w:r>
            <w:r w:rsidRPr="00284E3B">
              <w:rPr>
                <w:lang w:val="es-ES"/>
              </w:rPr>
              <w:t xml:space="preserve"> con los manuales impresos</w:t>
            </w:r>
            <w:r>
              <w:rPr>
                <w:lang w:val="es-ES"/>
              </w:rPr>
              <w:t xml:space="preserve"> de la</w:t>
            </w:r>
            <w:r w:rsidRPr="00284E3B">
              <w:rPr>
                <w:lang w:val="es-ES"/>
              </w:rPr>
              <w:t xml:space="preserve"> V 1.2.</w:t>
            </w:r>
          </w:p>
        </w:tc>
      </w:tr>
      <w:tr w:rsidR="006725F0" w:rsidRPr="000C4F02" w14:paraId="42125F9E" w14:textId="77777777" w:rsidTr="00935EF1">
        <w:trPr>
          <w:trHeight w:val="250"/>
        </w:trPr>
        <w:tc>
          <w:tcPr>
            <w:tcW w:w="1527" w:type="dxa"/>
          </w:tcPr>
          <w:p w14:paraId="0BDACC7A" w14:textId="77777777" w:rsidR="006725F0" w:rsidRDefault="006725F0" w:rsidP="00935EF1">
            <w:pPr>
              <w:jc w:val="center"/>
            </w:pPr>
            <w:r>
              <w:t>1</w:t>
            </w:r>
          </w:p>
        </w:tc>
        <w:tc>
          <w:tcPr>
            <w:tcW w:w="1239" w:type="dxa"/>
          </w:tcPr>
          <w:p w14:paraId="63E32E59" w14:textId="77777777" w:rsidR="006725F0" w:rsidRDefault="006725F0" w:rsidP="00935EF1">
            <w:pPr>
              <w:jc w:val="center"/>
            </w:pPr>
            <w:r>
              <w:t>7</w:t>
            </w:r>
          </w:p>
        </w:tc>
        <w:tc>
          <w:tcPr>
            <w:tcW w:w="3715" w:type="dxa"/>
          </w:tcPr>
          <w:p w14:paraId="1D75F7DB" w14:textId="77777777" w:rsidR="006725F0" w:rsidRPr="00284E3B" w:rsidRDefault="006725F0" w:rsidP="00935EF1">
            <w:pPr>
              <w:rPr>
                <w:lang w:val="es-MX"/>
              </w:rPr>
            </w:pPr>
            <w:r>
              <w:rPr>
                <w:lang w:val="es-MX"/>
              </w:rPr>
              <w:t xml:space="preserve">Cambiar a: </w:t>
            </w:r>
            <w:r w:rsidRPr="006725F0">
              <w:rPr>
                <w:lang w:val="es-ES_tradnl"/>
              </w:rPr>
              <w:t xml:space="preserve">Un </w:t>
            </w:r>
            <w:r w:rsidRPr="006725F0">
              <w:rPr>
                <w:b/>
                <w:bCs/>
                <w:lang w:val="es-ES_tradnl"/>
              </w:rPr>
              <w:t xml:space="preserve">usuario final calificado </w:t>
            </w:r>
            <w:r>
              <w:rPr>
                <w:lang w:val="es-ES_tradnl"/>
              </w:rPr>
              <w:t xml:space="preserve">es ya sea (a) el consumidor del </w:t>
            </w:r>
            <w:r w:rsidRPr="006725F0">
              <w:rPr>
                <w:lang w:val="es-ES_tradnl"/>
              </w:rPr>
              <w:t>alimento (en cualquier lugar), o (b) un restaurante o establecimie</w:t>
            </w:r>
            <w:r>
              <w:rPr>
                <w:lang w:val="es-ES_tradnl"/>
              </w:rPr>
              <w:t xml:space="preserve">nto de venta al por menor del </w:t>
            </w:r>
            <w:r w:rsidRPr="006725F0">
              <w:rPr>
                <w:lang w:val="es-ES_tradnl"/>
              </w:rPr>
              <w:t xml:space="preserve">alimento que está situado en el mismo estado </w:t>
            </w:r>
            <w:r>
              <w:rPr>
                <w:lang w:val="es-ES_tradnl"/>
              </w:rPr>
              <w:t xml:space="preserve">o la misma reserva india que la </w:t>
            </w:r>
            <w:r w:rsidRPr="006725F0">
              <w:rPr>
                <w:lang w:val="es-ES_tradnl"/>
              </w:rPr>
              <w:t xml:space="preserve">huerta o a no más de 275 millas (442.6 km) </w:t>
            </w:r>
            <w:r>
              <w:rPr>
                <w:lang w:val="es-ES_tradnl"/>
              </w:rPr>
              <w:t xml:space="preserve">de distancia. Los restaurantes </w:t>
            </w:r>
            <w:r w:rsidRPr="006725F0">
              <w:rPr>
                <w:lang w:val="es-ES_tradnl"/>
              </w:rPr>
              <w:t>o e</w:t>
            </w:r>
            <w:r>
              <w:rPr>
                <w:lang w:val="es-ES_tradnl"/>
              </w:rPr>
              <w:t xml:space="preserve">stablecimientos de venta al por </w:t>
            </w:r>
            <w:r w:rsidRPr="006725F0">
              <w:rPr>
                <w:lang w:val="es-ES_tradnl"/>
              </w:rPr>
              <w:t>m</w:t>
            </w:r>
            <w:r>
              <w:rPr>
                <w:lang w:val="es-ES_tradnl"/>
              </w:rPr>
              <w:t xml:space="preserve">enor que estén situados en otro </w:t>
            </w:r>
            <w:r w:rsidRPr="006725F0">
              <w:rPr>
                <w:lang w:val="es-ES_tradnl"/>
              </w:rPr>
              <w:t>estado</w:t>
            </w:r>
            <w:r>
              <w:rPr>
                <w:lang w:val="es-ES_tradnl"/>
              </w:rPr>
              <w:t xml:space="preserve"> o país podrían ser usuarios </w:t>
            </w:r>
            <w:r w:rsidRPr="006725F0">
              <w:rPr>
                <w:lang w:val="es-ES_tradnl"/>
              </w:rPr>
              <w:t>final</w:t>
            </w:r>
            <w:r>
              <w:rPr>
                <w:lang w:val="es-ES_tradnl"/>
              </w:rPr>
              <w:t xml:space="preserve">es calificados si se encuentran </w:t>
            </w:r>
            <w:r w:rsidRPr="006725F0">
              <w:rPr>
                <w:lang w:val="es-ES_tradnl"/>
              </w:rPr>
              <w:t>localizados dentro de 275 millas de la huerta.</w:t>
            </w:r>
          </w:p>
        </w:tc>
        <w:tc>
          <w:tcPr>
            <w:tcW w:w="4320" w:type="dxa"/>
          </w:tcPr>
          <w:p w14:paraId="51B25922" w14:textId="77777777" w:rsidR="006725F0" w:rsidRPr="000C4F02" w:rsidRDefault="006725F0" w:rsidP="00935EF1">
            <w:pPr>
              <w:rPr>
                <w:lang w:val="es-MX"/>
              </w:rPr>
            </w:pPr>
            <w:r>
              <w:rPr>
                <w:lang w:val="es-MX"/>
              </w:rPr>
              <w:t>Omisión de parte de un párrafo en la definición de usuario final calificado en las notas.</w:t>
            </w:r>
          </w:p>
        </w:tc>
      </w:tr>
      <w:tr w:rsidR="000F3040" w:rsidRPr="000C4F02" w14:paraId="616BEBF3" w14:textId="77777777" w:rsidTr="00935EF1">
        <w:trPr>
          <w:trHeight w:val="250"/>
        </w:trPr>
        <w:tc>
          <w:tcPr>
            <w:tcW w:w="1527" w:type="dxa"/>
          </w:tcPr>
          <w:p w14:paraId="074A2226" w14:textId="77777777" w:rsidR="000F3040" w:rsidRDefault="000F3040" w:rsidP="00935EF1">
            <w:pPr>
              <w:jc w:val="center"/>
            </w:pPr>
            <w:r>
              <w:t>1</w:t>
            </w:r>
          </w:p>
        </w:tc>
        <w:tc>
          <w:tcPr>
            <w:tcW w:w="1239" w:type="dxa"/>
          </w:tcPr>
          <w:p w14:paraId="420CC6A0" w14:textId="77777777" w:rsidR="000F3040" w:rsidRDefault="000F3040" w:rsidP="00935EF1">
            <w:pPr>
              <w:jc w:val="center"/>
            </w:pPr>
            <w:r>
              <w:t>7</w:t>
            </w:r>
          </w:p>
        </w:tc>
        <w:tc>
          <w:tcPr>
            <w:tcW w:w="3715" w:type="dxa"/>
          </w:tcPr>
          <w:p w14:paraId="7F2CB227" w14:textId="4FAE4954" w:rsidR="000F3040" w:rsidRPr="00284E3B" w:rsidRDefault="006725F0" w:rsidP="006725F0">
            <w:pPr>
              <w:rPr>
                <w:lang w:val="es-MX"/>
              </w:rPr>
            </w:pPr>
            <w:r>
              <w:rPr>
                <w:lang w:val="es-MX"/>
              </w:rPr>
              <w:t xml:space="preserve">Cambiar a: Promedio de ventas </w:t>
            </w:r>
            <w:r w:rsidRPr="006725F0">
              <w:rPr>
                <w:lang w:val="es-MX"/>
              </w:rPr>
              <w:t>anuales de alimentos y ventas a “usuarios finales calificados”</w:t>
            </w:r>
          </w:p>
        </w:tc>
        <w:tc>
          <w:tcPr>
            <w:tcW w:w="4320" w:type="dxa"/>
          </w:tcPr>
          <w:p w14:paraId="70BB6DB0" w14:textId="0DD374DF" w:rsidR="000F3040" w:rsidRPr="006725F0" w:rsidRDefault="006725F0" w:rsidP="006725F0">
            <w:pPr>
              <w:rPr>
                <w:lang w:val="es-MX"/>
              </w:rPr>
            </w:pPr>
            <w:r>
              <w:rPr>
                <w:lang w:val="es-MX"/>
              </w:rPr>
              <w:t xml:space="preserve">Reemplazar </w:t>
            </w:r>
            <w:r w:rsidRPr="006725F0">
              <w:rPr>
                <w:lang w:val="es-MX"/>
              </w:rPr>
              <w:t>‘productos agr</w:t>
            </w:r>
            <w:r>
              <w:rPr>
                <w:lang w:val="es-MX"/>
              </w:rPr>
              <w:t>ícolas frescos</w:t>
            </w:r>
            <w:r w:rsidRPr="006725F0">
              <w:rPr>
                <w:lang w:val="es-MX"/>
              </w:rPr>
              <w:t xml:space="preserve">’ por ‘alimentos’ en la </w:t>
            </w:r>
            <w:r>
              <w:rPr>
                <w:lang w:val="es-MX"/>
              </w:rPr>
              <w:t xml:space="preserve">última sub-viñeta de la </w:t>
            </w:r>
            <w:r w:rsidRPr="006725F0">
              <w:rPr>
                <w:lang w:val="es-MX"/>
              </w:rPr>
              <w:t>diapositiva</w:t>
            </w:r>
            <w:r>
              <w:rPr>
                <w:lang w:val="es-MX"/>
              </w:rPr>
              <w:t xml:space="preserve"> 7</w:t>
            </w:r>
            <w:r w:rsidRPr="006725F0">
              <w:rPr>
                <w:lang w:val="es-MX"/>
              </w:rPr>
              <w:t>.</w:t>
            </w:r>
          </w:p>
        </w:tc>
      </w:tr>
      <w:tr w:rsidR="006725F0" w:rsidRPr="000C4F02" w14:paraId="29E940A6" w14:textId="77777777" w:rsidTr="00622FBF">
        <w:trPr>
          <w:trHeight w:val="250"/>
        </w:trPr>
        <w:tc>
          <w:tcPr>
            <w:tcW w:w="1527" w:type="dxa"/>
          </w:tcPr>
          <w:p w14:paraId="56B20A0C" w14:textId="77777777" w:rsidR="00587610" w:rsidRDefault="00587610" w:rsidP="00F269DD">
            <w:pPr>
              <w:jc w:val="center"/>
            </w:pPr>
            <w:r>
              <w:lastRenderedPageBreak/>
              <w:t>1</w:t>
            </w:r>
          </w:p>
        </w:tc>
        <w:tc>
          <w:tcPr>
            <w:tcW w:w="1239" w:type="dxa"/>
          </w:tcPr>
          <w:p w14:paraId="75697EEC" w14:textId="77777777" w:rsidR="00587610" w:rsidRDefault="00587610" w:rsidP="00F269DD">
            <w:pPr>
              <w:jc w:val="center"/>
            </w:pPr>
            <w:r>
              <w:t>7</w:t>
            </w:r>
          </w:p>
        </w:tc>
        <w:tc>
          <w:tcPr>
            <w:tcW w:w="3715" w:type="dxa"/>
          </w:tcPr>
          <w:p w14:paraId="1F643DE7" w14:textId="0D6B3844" w:rsidR="00587610" w:rsidRPr="00284E3B" w:rsidRDefault="00284E3B" w:rsidP="000C4F02">
            <w:pPr>
              <w:rPr>
                <w:lang w:val="es-MX"/>
              </w:rPr>
            </w:pPr>
            <w:r w:rsidRPr="00284E3B">
              <w:rPr>
                <w:lang w:val="es-MX"/>
              </w:rPr>
              <w:t xml:space="preserve">Se agregó el recurso de los Límites de </w:t>
            </w:r>
            <w:r w:rsidR="000C4F02">
              <w:rPr>
                <w:lang w:val="es-MX"/>
              </w:rPr>
              <w:t xml:space="preserve">los </w:t>
            </w:r>
            <w:r w:rsidRPr="00284E3B">
              <w:rPr>
                <w:lang w:val="es-MX"/>
              </w:rPr>
              <w:t>valores ajustados según la inflación para que las huertas determinen si están cubiertas por la Norma de inocuidad de los productos agr</w:t>
            </w:r>
            <w:r>
              <w:rPr>
                <w:lang w:val="es-MX"/>
              </w:rPr>
              <w:t>ícolas frescos de FSMA</w:t>
            </w:r>
            <w:r w:rsidRPr="00284E3B">
              <w:rPr>
                <w:lang w:val="es-MX"/>
              </w:rPr>
              <w:t xml:space="preserve"> </w:t>
            </w:r>
            <w:r w:rsidR="000C4F02">
              <w:rPr>
                <w:lang w:val="es-MX"/>
              </w:rPr>
              <w:t xml:space="preserve">o si pueden ser elegibles para obtener una exención calificada. </w:t>
            </w:r>
          </w:p>
        </w:tc>
        <w:tc>
          <w:tcPr>
            <w:tcW w:w="4320" w:type="dxa"/>
          </w:tcPr>
          <w:p w14:paraId="180F83C1" w14:textId="4BA067E4" w:rsidR="00587610" w:rsidRPr="000C4F02" w:rsidRDefault="000C4F02" w:rsidP="000C4F02">
            <w:pPr>
              <w:rPr>
                <w:lang w:val="es-MX"/>
              </w:rPr>
            </w:pPr>
            <w:r w:rsidRPr="000C4F02">
              <w:rPr>
                <w:lang w:val="es-MX"/>
              </w:rPr>
              <w:t xml:space="preserve">Los límites de </w:t>
            </w:r>
            <w:r>
              <w:rPr>
                <w:lang w:val="es-MX"/>
              </w:rPr>
              <w:t xml:space="preserve">los </w:t>
            </w:r>
            <w:r w:rsidRPr="000C4F02">
              <w:rPr>
                <w:lang w:val="es-MX"/>
              </w:rPr>
              <w:t>valores ajustados según la inflaci</w:t>
            </w:r>
            <w:r>
              <w:rPr>
                <w:lang w:val="es-MX"/>
              </w:rPr>
              <w:t>ón son actualizados anualmente en el mes de marzo. Asegúrese de consultar esa información en la página web de la FDA:</w:t>
            </w:r>
            <w:r w:rsidR="00587610" w:rsidRPr="000C4F02">
              <w:rPr>
                <w:lang w:val="es-MX"/>
              </w:rPr>
              <w:t xml:space="preserve"> https://www.fda.gov/food/food-safety-modernization-act-fsma/fsma-inflation-adjusted-cut-offs</w:t>
            </w:r>
          </w:p>
        </w:tc>
      </w:tr>
      <w:tr w:rsidR="006725F0" w:rsidRPr="00F81132" w14:paraId="4E9EE567" w14:textId="77777777" w:rsidTr="00622FBF">
        <w:trPr>
          <w:trHeight w:val="262"/>
        </w:trPr>
        <w:tc>
          <w:tcPr>
            <w:tcW w:w="1527" w:type="dxa"/>
          </w:tcPr>
          <w:p w14:paraId="249FAAB8" w14:textId="77777777" w:rsidR="00587610" w:rsidRDefault="00587610" w:rsidP="00F269DD">
            <w:pPr>
              <w:jc w:val="center"/>
            </w:pPr>
            <w:r>
              <w:t>1</w:t>
            </w:r>
          </w:p>
        </w:tc>
        <w:tc>
          <w:tcPr>
            <w:tcW w:w="1239" w:type="dxa"/>
          </w:tcPr>
          <w:p w14:paraId="44B0A208" w14:textId="77777777" w:rsidR="00587610" w:rsidRDefault="00587610" w:rsidP="00F269DD">
            <w:pPr>
              <w:jc w:val="center"/>
            </w:pPr>
            <w:r>
              <w:t>8</w:t>
            </w:r>
          </w:p>
        </w:tc>
        <w:tc>
          <w:tcPr>
            <w:tcW w:w="3715" w:type="dxa"/>
          </w:tcPr>
          <w:p w14:paraId="3CC3BBB4" w14:textId="1545D06B" w:rsidR="00587610" w:rsidRPr="00F81132" w:rsidRDefault="004F7016" w:rsidP="00F81132">
            <w:pPr>
              <w:rPr>
                <w:lang w:val="es-MX"/>
              </w:rPr>
            </w:pPr>
            <w:r w:rsidRPr="00F81132">
              <w:rPr>
                <w:lang w:val="es-MX"/>
              </w:rPr>
              <w:t xml:space="preserve">La tabla con las fechas de cumplimiento ha sido actualizada para incluir las fechas de cumplimiento relacionadas con </w:t>
            </w:r>
            <w:r w:rsidR="00F81132">
              <w:rPr>
                <w:lang w:val="es-MX"/>
              </w:rPr>
              <w:t>el</w:t>
            </w:r>
            <w:r w:rsidRPr="00F81132">
              <w:rPr>
                <w:lang w:val="es-MX"/>
              </w:rPr>
              <w:t xml:space="preserve"> agua</w:t>
            </w:r>
            <w:r w:rsidR="00F81132" w:rsidRPr="00F81132">
              <w:rPr>
                <w:lang w:val="es-MX"/>
              </w:rPr>
              <w:t>, junto con notas nuevas que apoyan dicha información.</w:t>
            </w:r>
            <w:r w:rsidR="00F269DD" w:rsidRPr="00F81132">
              <w:rPr>
                <w:lang w:val="es-MX"/>
              </w:rPr>
              <w:t xml:space="preserve"> </w:t>
            </w:r>
          </w:p>
        </w:tc>
        <w:tc>
          <w:tcPr>
            <w:tcW w:w="4320" w:type="dxa"/>
          </w:tcPr>
          <w:p w14:paraId="61F00E2C" w14:textId="42A89C35" w:rsidR="00F81132" w:rsidRPr="00F81132" w:rsidRDefault="00F81132" w:rsidP="00F81132">
            <w:pPr>
              <w:rPr>
                <w:lang w:val="es-MX"/>
              </w:rPr>
            </w:pPr>
            <w:r w:rsidRPr="00F81132">
              <w:rPr>
                <w:lang w:val="es-ES"/>
              </w:rPr>
              <w:t xml:space="preserve">Se incluye información adicional en las notas para proporcionar antecedentes </w:t>
            </w:r>
            <w:r>
              <w:rPr>
                <w:lang w:val="es-ES"/>
              </w:rPr>
              <w:t>a</w:t>
            </w:r>
            <w:r w:rsidRPr="00F81132">
              <w:rPr>
                <w:lang w:val="es-ES"/>
              </w:rPr>
              <w:t xml:space="preserve"> la extensión de las fechas de cumplimiento del agua </w:t>
            </w:r>
            <w:r>
              <w:rPr>
                <w:lang w:val="es-ES"/>
              </w:rPr>
              <w:t xml:space="preserve">de uso </w:t>
            </w:r>
            <w:r w:rsidRPr="00F81132">
              <w:rPr>
                <w:lang w:val="es-ES"/>
              </w:rPr>
              <w:t>agrícola, así como lo que los productores deben hacer en el ínterin.</w:t>
            </w:r>
          </w:p>
          <w:p w14:paraId="0D70F6D7" w14:textId="7DEF572B" w:rsidR="00587610" w:rsidRPr="00F81132" w:rsidRDefault="00587610" w:rsidP="00F269DD">
            <w:pPr>
              <w:rPr>
                <w:lang w:val="es-MX"/>
              </w:rPr>
            </w:pPr>
          </w:p>
        </w:tc>
      </w:tr>
      <w:tr w:rsidR="006725F0" w:rsidRPr="00F81132" w14:paraId="6DBE2B6D" w14:textId="77777777" w:rsidTr="00622FBF">
        <w:trPr>
          <w:trHeight w:val="250"/>
        </w:trPr>
        <w:tc>
          <w:tcPr>
            <w:tcW w:w="1527" w:type="dxa"/>
          </w:tcPr>
          <w:p w14:paraId="18F999B5" w14:textId="77777777" w:rsidR="00587610" w:rsidRDefault="00F269DD" w:rsidP="00F269DD">
            <w:pPr>
              <w:jc w:val="center"/>
            </w:pPr>
            <w:r>
              <w:t>2</w:t>
            </w:r>
          </w:p>
        </w:tc>
        <w:tc>
          <w:tcPr>
            <w:tcW w:w="1239" w:type="dxa"/>
          </w:tcPr>
          <w:p w14:paraId="5FCD5EC4" w14:textId="77777777" w:rsidR="00587610" w:rsidRDefault="00F269DD" w:rsidP="00F269DD">
            <w:pPr>
              <w:jc w:val="center"/>
            </w:pPr>
            <w:r>
              <w:t>3</w:t>
            </w:r>
          </w:p>
        </w:tc>
        <w:tc>
          <w:tcPr>
            <w:tcW w:w="3715" w:type="dxa"/>
          </w:tcPr>
          <w:p w14:paraId="54FF5C92" w14:textId="08A195C4" w:rsidR="00587610" w:rsidRPr="00F81132" w:rsidRDefault="00F81132" w:rsidP="00F81132">
            <w:pPr>
              <w:rPr>
                <w:lang w:val="es-MX"/>
              </w:rPr>
            </w:pPr>
            <w:r w:rsidRPr="00F81132">
              <w:rPr>
                <w:lang w:val="es-MX"/>
              </w:rPr>
              <w:t xml:space="preserve">Los objetivos de aprendizaje han sido re-organizados para coincidir con </w:t>
            </w:r>
            <w:r>
              <w:rPr>
                <w:lang w:val="es-MX"/>
              </w:rPr>
              <w:t>los objetivos de la página divisora o pestaña.</w:t>
            </w:r>
          </w:p>
        </w:tc>
        <w:tc>
          <w:tcPr>
            <w:tcW w:w="4320" w:type="dxa"/>
          </w:tcPr>
          <w:p w14:paraId="2108ACF5" w14:textId="570C87D6" w:rsidR="00587610" w:rsidRPr="00F81132" w:rsidRDefault="00F81132" w:rsidP="00F81132">
            <w:pPr>
              <w:rPr>
                <w:lang w:val="es-MX"/>
              </w:rPr>
            </w:pPr>
            <w:r w:rsidRPr="00F81132">
              <w:rPr>
                <w:lang w:val="es-MX"/>
              </w:rPr>
              <w:t>Consistencia.</w:t>
            </w:r>
            <w:r w:rsidR="00B174B1" w:rsidRPr="00F81132">
              <w:rPr>
                <w:lang w:val="es-MX"/>
              </w:rPr>
              <w:t xml:space="preserve"> </w:t>
            </w:r>
            <w:r w:rsidRPr="00F81132">
              <w:rPr>
                <w:lang w:val="es-MX"/>
              </w:rPr>
              <w:t xml:space="preserve">Los objetivos </w:t>
            </w:r>
            <w:r>
              <w:rPr>
                <w:lang w:val="es-MX"/>
              </w:rPr>
              <w:t>de</w:t>
            </w:r>
            <w:r w:rsidRPr="00F81132">
              <w:rPr>
                <w:lang w:val="es-MX"/>
              </w:rPr>
              <w:t xml:space="preserve"> las diapositivas no coincidían con los que aparecen en </w:t>
            </w:r>
            <w:r>
              <w:rPr>
                <w:lang w:val="es-MX"/>
              </w:rPr>
              <w:t>la página divisora o pestaña.</w:t>
            </w:r>
          </w:p>
        </w:tc>
      </w:tr>
      <w:tr w:rsidR="006725F0" w:rsidRPr="0061755F" w14:paraId="17F4DDF3" w14:textId="77777777" w:rsidTr="00622FBF">
        <w:trPr>
          <w:trHeight w:val="250"/>
        </w:trPr>
        <w:tc>
          <w:tcPr>
            <w:tcW w:w="1527" w:type="dxa"/>
          </w:tcPr>
          <w:p w14:paraId="7144751B" w14:textId="77777777" w:rsidR="00587610" w:rsidRDefault="0033740F" w:rsidP="00F269DD">
            <w:pPr>
              <w:jc w:val="center"/>
            </w:pPr>
            <w:r>
              <w:t>2</w:t>
            </w:r>
          </w:p>
        </w:tc>
        <w:tc>
          <w:tcPr>
            <w:tcW w:w="1239" w:type="dxa"/>
          </w:tcPr>
          <w:p w14:paraId="219897CE" w14:textId="77777777" w:rsidR="00587610" w:rsidRDefault="0033740F" w:rsidP="00F269DD">
            <w:pPr>
              <w:jc w:val="center"/>
            </w:pPr>
            <w:r>
              <w:t>30</w:t>
            </w:r>
          </w:p>
        </w:tc>
        <w:tc>
          <w:tcPr>
            <w:tcW w:w="3715" w:type="dxa"/>
          </w:tcPr>
          <w:p w14:paraId="2C268595" w14:textId="3D435CE5" w:rsidR="00F52F39" w:rsidRPr="0061755F" w:rsidRDefault="0061755F" w:rsidP="0061755F">
            <w:pPr>
              <w:rPr>
                <w:lang w:val="es-MX"/>
              </w:rPr>
            </w:pPr>
            <w:r w:rsidRPr="0061755F">
              <w:rPr>
                <w:lang w:val="es-MX"/>
              </w:rPr>
              <w:t>Viñeta nueva después de la Subparte O, 1 y 2: "</w:t>
            </w:r>
            <w:r w:rsidR="006725F0" w:rsidRPr="0061755F">
              <w:rPr>
                <w:lang w:val="es-ES"/>
              </w:rPr>
              <w:t>Los registros que cumplan con la § 112.30(b) tienen que ser revisados, fechados y firmados por un supervisor o persona responsable dentro de un tiempo razonable después de que los registros se generaron (§ 112.161(b)).</w:t>
            </w:r>
            <w:r w:rsidRPr="0061755F">
              <w:rPr>
                <w:lang w:val="es-MX"/>
              </w:rPr>
              <w:t>"</w:t>
            </w:r>
          </w:p>
          <w:p w14:paraId="68263EAE" w14:textId="2BE8F328" w:rsidR="0061755F" w:rsidRPr="0061755F" w:rsidRDefault="0061755F" w:rsidP="00587610">
            <w:pPr>
              <w:rPr>
                <w:lang w:val="es-MX"/>
              </w:rPr>
            </w:pPr>
          </w:p>
        </w:tc>
        <w:tc>
          <w:tcPr>
            <w:tcW w:w="4320" w:type="dxa"/>
          </w:tcPr>
          <w:p w14:paraId="3C9B2D37" w14:textId="5A1E6A19" w:rsidR="00587610" w:rsidRPr="0061755F" w:rsidRDefault="0061755F" w:rsidP="0030226B">
            <w:pPr>
              <w:rPr>
                <w:lang w:val="es-MX"/>
              </w:rPr>
            </w:pPr>
            <w:r>
              <w:rPr>
                <w:lang w:val="es-MX"/>
              </w:rPr>
              <w:t xml:space="preserve">Información omitida en la </w:t>
            </w:r>
            <w:r w:rsidR="0030226B">
              <w:rPr>
                <w:lang w:val="es-MX"/>
              </w:rPr>
              <w:t>V</w:t>
            </w:r>
            <w:r>
              <w:rPr>
                <w:lang w:val="es-MX"/>
              </w:rPr>
              <w:t xml:space="preserve"> 1.1. Es importante que los productores cuenten con esta información</w:t>
            </w:r>
            <w:r w:rsidR="0033740F" w:rsidRPr="0061755F">
              <w:rPr>
                <w:lang w:val="es-MX"/>
              </w:rPr>
              <w:t xml:space="preserve">. </w:t>
            </w:r>
          </w:p>
        </w:tc>
      </w:tr>
      <w:tr w:rsidR="006725F0" w:rsidRPr="00131BAC" w14:paraId="5FFB4E25" w14:textId="77777777" w:rsidTr="00622FBF">
        <w:trPr>
          <w:trHeight w:val="250"/>
        </w:trPr>
        <w:tc>
          <w:tcPr>
            <w:tcW w:w="1527" w:type="dxa"/>
          </w:tcPr>
          <w:p w14:paraId="0B778152" w14:textId="77777777" w:rsidR="00587610" w:rsidRPr="0061755F" w:rsidRDefault="0033740F" w:rsidP="00F269DD">
            <w:pPr>
              <w:jc w:val="center"/>
              <w:rPr>
                <w:lang w:val="es-MX"/>
              </w:rPr>
            </w:pPr>
            <w:r w:rsidRPr="0061755F">
              <w:rPr>
                <w:lang w:val="es-MX"/>
              </w:rPr>
              <w:t>3</w:t>
            </w:r>
          </w:p>
        </w:tc>
        <w:tc>
          <w:tcPr>
            <w:tcW w:w="1239" w:type="dxa"/>
          </w:tcPr>
          <w:p w14:paraId="4E1E336A" w14:textId="77777777" w:rsidR="00587610" w:rsidRPr="0061755F" w:rsidRDefault="0033740F" w:rsidP="00F269DD">
            <w:pPr>
              <w:jc w:val="center"/>
              <w:rPr>
                <w:lang w:val="es-MX"/>
              </w:rPr>
            </w:pPr>
            <w:r w:rsidRPr="0061755F">
              <w:rPr>
                <w:lang w:val="es-MX"/>
              </w:rPr>
              <w:t>14</w:t>
            </w:r>
          </w:p>
        </w:tc>
        <w:tc>
          <w:tcPr>
            <w:tcW w:w="3715" w:type="dxa"/>
          </w:tcPr>
          <w:p w14:paraId="6C8F78F8" w14:textId="7F1CB4CF" w:rsidR="00587610" w:rsidRPr="0061755F" w:rsidRDefault="0033740F" w:rsidP="00131BAC">
            <w:pPr>
              <w:rPr>
                <w:lang w:val="es-MX"/>
              </w:rPr>
            </w:pPr>
            <w:r w:rsidRPr="0061755F">
              <w:rPr>
                <w:lang w:val="es-MX"/>
              </w:rPr>
              <w:t>C</w:t>
            </w:r>
            <w:r w:rsidR="00131BAC">
              <w:rPr>
                <w:lang w:val="es-MX"/>
              </w:rPr>
              <w:t>ambio de</w:t>
            </w:r>
            <w:r w:rsidRPr="0061755F">
              <w:rPr>
                <w:lang w:val="es-MX"/>
              </w:rPr>
              <w:t xml:space="preserve"> § 112.52 </w:t>
            </w:r>
            <w:r w:rsidR="00131BAC">
              <w:rPr>
                <w:lang w:val="es-MX"/>
              </w:rPr>
              <w:t>a</w:t>
            </w:r>
            <w:r w:rsidRPr="0061755F">
              <w:rPr>
                <w:lang w:val="es-MX"/>
              </w:rPr>
              <w:t xml:space="preserve"> § 112.52(a)</w:t>
            </w:r>
          </w:p>
        </w:tc>
        <w:tc>
          <w:tcPr>
            <w:tcW w:w="4320" w:type="dxa"/>
          </w:tcPr>
          <w:p w14:paraId="09B20980" w14:textId="7A307427" w:rsidR="00587610" w:rsidRPr="00131BAC" w:rsidRDefault="00131BAC" w:rsidP="00131BAC">
            <w:pPr>
              <w:rPr>
                <w:lang w:val="es-MX"/>
              </w:rPr>
            </w:pPr>
            <w:r>
              <w:rPr>
                <w:lang w:val="es-MX"/>
              </w:rPr>
              <w:t xml:space="preserve">Las consideraciones de manejo y almacenamiento </w:t>
            </w:r>
            <w:r w:rsidRPr="00131BAC">
              <w:rPr>
                <w:lang w:val="es-MX"/>
              </w:rPr>
              <w:t xml:space="preserve">para prevenir la contaminación en campos y equipo son requisitos </w:t>
            </w:r>
            <w:r>
              <w:rPr>
                <w:lang w:val="es-MX"/>
              </w:rPr>
              <w:t xml:space="preserve">que se </w:t>
            </w:r>
            <w:r w:rsidRPr="00131BAC">
              <w:rPr>
                <w:lang w:val="es-MX"/>
              </w:rPr>
              <w:t>aborda</w:t>
            </w:r>
            <w:r>
              <w:rPr>
                <w:lang w:val="es-MX"/>
              </w:rPr>
              <w:t>n</w:t>
            </w:r>
            <w:r w:rsidRPr="00131BAC">
              <w:rPr>
                <w:lang w:val="es-MX"/>
              </w:rPr>
              <w:t xml:space="preserve"> solamente en</w:t>
            </w:r>
            <w:r w:rsidR="006C4080" w:rsidRPr="00131BAC">
              <w:rPr>
                <w:lang w:val="es-MX"/>
              </w:rPr>
              <w:t xml:space="preserve"> </w:t>
            </w:r>
            <w:r w:rsidR="00B174B1" w:rsidRPr="00131BAC">
              <w:rPr>
                <w:lang w:val="es-MX"/>
              </w:rPr>
              <w:t>§ 112.52</w:t>
            </w:r>
            <w:r w:rsidR="006C4080" w:rsidRPr="00131BAC">
              <w:rPr>
                <w:lang w:val="es-MX"/>
              </w:rPr>
              <w:t>(a).</w:t>
            </w:r>
          </w:p>
        </w:tc>
      </w:tr>
      <w:tr w:rsidR="006725F0" w:rsidRPr="0096328B" w14:paraId="3A6D9C86" w14:textId="77777777" w:rsidTr="00622FBF">
        <w:trPr>
          <w:trHeight w:val="250"/>
        </w:trPr>
        <w:tc>
          <w:tcPr>
            <w:tcW w:w="1527" w:type="dxa"/>
          </w:tcPr>
          <w:p w14:paraId="7A036E3D" w14:textId="77777777" w:rsidR="00587610" w:rsidRDefault="0033740F" w:rsidP="0033740F">
            <w:pPr>
              <w:jc w:val="center"/>
            </w:pPr>
            <w:r>
              <w:t>3</w:t>
            </w:r>
          </w:p>
        </w:tc>
        <w:tc>
          <w:tcPr>
            <w:tcW w:w="1239" w:type="dxa"/>
          </w:tcPr>
          <w:p w14:paraId="0F953182" w14:textId="77777777" w:rsidR="00587610" w:rsidRDefault="0033740F" w:rsidP="0033740F">
            <w:pPr>
              <w:jc w:val="center"/>
            </w:pPr>
            <w:r>
              <w:t>14</w:t>
            </w:r>
          </w:p>
        </w:tc>
        <w:tc>
          <w:tcPr>
            <w:tcW w:w="3715" w:type="dxa"/>
          </w:tcPr>
          <w:p w14:paraId="44C8AA24" w14:textId="7A24C5BA" w:rsidR="00587610" w:rsidRPr="0096328B" w:rsidRDefault="0096328B" w:rsidP="00587610">
            <w:pPr>
              <w:rPr>
                <w:lang w:val="es-MX"/>
              </w:rPr>
            </w:pPr>
            <w:r w:rsidRPr="0096328B">
              <w:rPr>
                <w:lang w:val="es-MX"/>
              </w:rPr>
              <w:t>Agregar viñeta a las notas</w:t>
            </w:r>
            <w:r w:rsidR="0033740F" w:rsidRPr="0096328B">
              <w:rPr>
                <w:lang w:val="es-MX"/>
              </w:rPr>
              <w:t>: "</w:t>
            </w:r>
            <w:r w:rsidR="006725F0" w:rsidRPr="0096328B">
              <w:rPr>
                <w:lang w:val="es-MX"/>
              </w:rPr>
              <w:t>Nota: Se señalan las disposiciones específicas de la Norma de inocuidad de los productos agrícolas frescos de FSMA que están relacionadas con ciertas BPA, sin embargo, la Norma no exige que se sigan BPA o que se apliquen los e</w:t>
            </w:r>
            <w:r>
              <w:rPr>
                <w:lang w:val="es-MX"/>
              </w:rPr>
              <w:t>squemas de auditoría de las BPA</w:t>
            </w:r>
            <w:r w:rsidR="0033740F" w:rsidRPr="0096328B">
              <w:rPr>
                <w:lang w:val="es-MX"/>
              </w:rPr>
              <w:t>."</w:t>
            </w:r>
          </w:p>
          <w:p w14:paraId="6133F779" w14:textId="77777777" w:rsidR="00810ACB" w:rsidRPr="0096328B" w:rsidRDefault="00810ACB" w:rsidP="00587610">
            <w:pPr>
              <w:rPr>
                <w:lang w:val="es-MX"/>
              </w:rPr>
            </w:pPr>
          </w:p>
          <w:p w14:paraId="2757EDCA" w14:textId="77777777" w:rsidR="00810ACB" w:rsidRPr="0096328B" w:rsidRDefault="00810ACB" w:rsidP="00587610">
            <w:pPr>
              <w:rPr>
                <w:lang w:val="es-MX"/>
              </w:rPr>
            </w:pPr>
          </w:p>
        </w:tc>
        <w:tc>
          <w:tcPr>
            <w:tcW w:w="4320" w:type="dxa"/>
          </w:tcPr>
          <w:p w14:paraId="20B7CCDF" w14:textId="080C59AA" w:rsidR="00587610" w:rsidRPr="0096328B" w:rsidRDefault="0033740F" w:rsidP="00550730">
            <w:pPr>
              <w:rPr>
                <w:lang w:val="es-MX"/>
              </w:rPr>
            </w:pPr>
            <w:r w:rsidRPr="0096328B">
              <w:rPr>
                <w:lang w:val="es-MX"/>
              </w:rPr>
              <w:t>Clarifica</w:t>
            </w:r>
            <w:r w:rsidR="0096328B">
              <w:rPr>
                <w:lang w:val="es-MX"/>
              </w:rPr>
              <w:t>ción para prevenir confusi</w:t>
            </w:r>
            <w:r w:rsidR="00550730">
              <w:rPr>
                <w:lang w:val="es-MX"/>
              </w:rPr>
              <w:t>ón</w:t>
            </w:r>
            <w:r w:rsidRPr="0096328B">
              <w:rPr>
                <w:lang w:val="es-MX"/>
              </w:rPr>
              <w:t xml:space="preserve">. </w:t>
            </w:r>
          </w:p>
        </w:tc>
      </w:tr>
      <w:tr w:rsidR="005F68B1" w14:paraId="4874D2D2" w14:textId="77777777" w:rsidTr="005C1336">
        <w:trPr>
          <w:trHeight w:val="250"/>
        </w:trPr>
        <w:tc>
          <w:tcPr>
            <w:tcW w:w="1527" w:type="dxa"/>
          </w:tcPr>
          <w:p w14:paraId="52444027" w14:textId="54C64B1E" w:rsidR="005F68B1" w:rsidRPr="0096328B" w:rsidRDefault="005F68B1" w:rsidP="00630764">
            <w:pPr>
              <w:jc w:val="center"/>
              <w:rPr>
                <w:b/>
                <w:lang w:val="es-MX"/>
              </w:rPr>
            </w:pPr>
            <w:r>
              <w:t>3</w:t>
            </w:r>
          </w:p>
        </w:tc>
        <w:tc>
          <w:tcPr>
            <w:tcW w:w="1239" w:type="dxa"/>
          </w:tcPr>
          <w:p w14:paraId="1F5E0890" w14:textId="6F67AA61" w:rsidR="005F68B1" w:rsidRPr="0096328B" w:rsidRDefault="005F68B1" w:rsidP="00810ACB">
            <w:pPr>
              <w:jc w:val="center"/>
              <w:rPr>
                <w:b/>
                <w:lang w:val="es-MX"/>
              </w:rPr>
            </w:pPr>
            <w:r>
              <w:t>17, 25</w:t>
            </w:r>
          </w:p>
        </w:tc>
        <w:tc>
          <w:tcPr>
            <w:tcW w:w="3715" w:type="dxa"/>
          </w:tcPr>
          <w:p w14:paraId="757B4178" w14:textId="5EF99B37" w:rsidR="005F68B1" w:rsidRPr="0096328B" w:rsidRDefault="005F68B1" w:rsidP="00810ACB">
            <w:pPr>
              <w:rPr>
                <w:b/>
                <w:lang w:val="es-MX"/>
              </w:rPr>
            </w:pPr>
            <w:r>
              <w:t xml:space="preserve">Reemplazar “comestible” con “cosechable” </w:t>
            </w:r>
          </w:p>
        </w:tc>
        <w:tc>
          <w:tcPr>
            <w:tcW w:w="4320" w:type="dxa"/>
          </w:tcPr>
          <w:p w14:paraId="148B8B89" w14:textId="1158DB96" w:rsidR="005F68B1" w:rsidRPr="00810ACB" w:rsidRDefault="005F68B1" w:rsidP="00810ACB">
            <w:pPr>
              <w:rPr>
                <w:b/>
              </w:rPr>
            </w:pPr>
            <w:r w:rsidRPr="00630764">
              <w:t xml:space="preserve">Importante para mantener consistencia en el uso de terminología proveniente de la Norma </w:t>
            </w:r>
            <w:r w:rsidRPr="00630764">
              <w:lastRenderedPageBreak/>
              <w:t xml:space="preserve">de inocuidad de los productos agrícolas frescos de FSMA. </w:t>
            </w:r>
          </w:p>
        </w:tc>
      </w:tr>
      <w:tr w:rsidR="005F68B1" w:rsidRPr="00630764" w14:paraId="35B8F02C" w14:textId="77777777" w:rsidTr="00622FBF">
        <w:trPr>
          <w:trHeight w:val="250"/>
        </w:trPr>
        <w:tc>
          <w:tcPr>
            <w:tcW w:w="1527" w:type="dxa"/>
          </w:tcPr>
          <w:p w14:paraId="68D9363B" w14:textId="4D148806" w:rsidR="005F68B1" w:rsidRDefault="005F68B1" w:rsidP="0033740F">
            <w:pPr>
              <w:jc w:val="center"/>
            </w:pPr>
            <w:r>
              <w:lastRenderedPageBreak/>
              <w:t>4</w:t>
            </w:r>
          </w:p>
        </w:tc>
        <w:tc>
          <w:tcPr>
            <w:tcW w:w="1239" w:type="dxa"/>
          </w:tcPr>
          <w:p w14:paraId="1D8EB8EE" w14:textId="203E0C0A" w:rsidR="005F68B1" w:rsidRDefault="005F68B1" w:rsidP="00630764">
            <w:pPr>
              <w:jc w:val="center"/>
            </w:pPr>
            <w:r>
              <w:t>12</w:t>
            </w:r>
          </w:p>
        </w:tc>
        <w:tc>
          <w:tcPr>
            <w:tcW w:w="3715" w:type="dxa"/>
          </w:tcPr>
          <w:p w14:paraId="231080CA" w14:textId="77777777" w:rsidR="005F68B1" w:rsidRPr="00F974A6" w:rsidRDefault="005F68B1" w:rsidP="006C4080">
            <w:pPr>
              <w:rPr>
                <w:lang w:val="es-MX"/>
              </w:rPr>
            </w:pPr>
            <w:r w:rsidRPr="00F974A6">
              <w:rPr>
                <w:lang w:val="es-MX"/>
              </w:rPr>
              <w:t xml:space="preserve">Viñeta y sub-viñeta nuevas: </w:t>
            </w:r>
          </w:p>
          <w:p w14:paraId="4B297C28" w14:textId="77777777" w:rsidR="005F68B1" w:rsidRPr="00F974A6" w:rsidRDefault="005F68B1" w:rsidP="00F974A6">
            <w:pPr>
              <w:pStyle w:val="ListParagraph"/>
              <w:numPr>
                <w:ilvl w:val="0"/>
                <w:numId w:val="4"/>
              </w:numPr>
              <w:ind w:left="342"/>
              <w:rPr>
                <w:lang w:val="es-MX"/>
              </w:rPr>
            </w:pPr>
            <w:r w:rsidRPr="00F974A6">
              <w:rPr>
                <w:lang w:val="es-MX"/>
              </w:rPr>
              <w:t>Investigaciones recientes en el suroeste de los Estados Unidos involucran el uso de aves de rapiña para el control de aves molestas y roedores en los campos de producción, una práctica conocida como cetrería.</w:t>
            </w:r>
          </w:p>
          <w:p w14:paraId="21BEE140" w14:textId="118CDBE8" w:rsidR="005F68B1" w:rsidRDefault="005F68B1" w:rsidP="00AF379C">
            <w:r w:rsidRPr="00F974A6">
              <w:rPr>
                <w:lang w:val="es-MX"/>
              </w:rPr>
              <w:t>Si se usan animales vivos como elementos disuasorios de la vida silvestre, tenga en cuenta y tome medidas para minimizar los riesgos que éstos pueden presentar (p. ej., excrementos).</w:t>
            </w:r>
          </w:p>
        </w:tc>
        <w:tc>
          <w:tcPr>
            <w:tcW w:w="4320" w:type="dxa"/>
          </w:tcPr>
          <w:p w14:paraId="69FC1513" w14:textId="32DA40D2" w:rsidR="005F68B1" w:rsidRPr="00630764" w:rsidRDefault="005F68B1" w:rsidP="00630764">
            <w:r w:rsidRPr="00F974A6">
              <w:rPr>
                <w:lang w:val="es-ES"/>
              </w:rPr>
              <w:t xml:space="preserve">La investigación adicional sobre cetrería realizada por Rivadeneira, P. (2018) describe el uso de aves rapaces para evitar la intrusión de aves silvestres y roedores en los campos de productos </w:t>
            </w:r>
            <w:r>
              <w:rPr>
                <w:lang w:val="es-ES"/>
              </w:rPr>
              <w:t xml:space="preserve">agrícolas </w:t>
            </w:r>
            <w:r w:rsidRPr="00F974A6">
              <w:rPr>
                <w:lang w:val="es-ES"/>
              </w:rPr>
              <w:t xml:space="preserve">frescos. </w:t>
            </w:r>
            <w:hyperlink r:id="rId5" w:history="1">
              <w:r w:rsidRPr="00F974A6">
                <w:rPr>
                  <w:rStyle w:val="Hyperlink"/>
                  <w:lang w:val="es-ES"/>
                </w:rPr>
                <w:t>Poster presentado en el Simposio Anual de Investigación del Centro para la Inocuidad de los Productos Agrícolas Frescos.</w:t>
              </w:r>
            </w:hyperlink>
          </w:p>
        </w:tc>
      </w:tr>
      <w:tr w:rsidR="005F68B1" w:rsidRPr="00F974A6" w14:paraId="5BFDA91E" w14:textId="77777777" w:rsidTr="00622FBF">
        <w:trPr>
          <w:trHeight w:val="250"/>
        </w:trPr>
        <w:tc>
          <w:tcPr>
            <w:tcW w:w="1527" w:type="dxa"/>
          </w:tcPr>
          <w:p w14:paraId="2598DEE6" w14:textId="5A9DE88F" w:rsidR="005F68B1" w:rsidRDefault="005F68B1" w:rsidP="0033740F">
            <w:pPr>
              <w:jc w:val="center"/>
            </w:pPr>
            <w:r>
              <w:t>4</w:t>
            </w:r>
          </w:p>
        </w:tc>
        <w:tc>
          <w:tcPr>
            <w:tcW w:w="1239" w:type="dxa"/>
          </w:tcPr>
          <w:p w14:paraId="4B73E586" w14:textId="615A73CF" w:rsidR="005F68B1" w:rsidRDefault="005F68B1" w:rsidP="0033740F">
            <w:pPr>
              <w:jc w:val="center"/>
            </w:pPr>
            <w:r>
              <w:t>13</w:t>
            </w:r>
          </w:p>
        </w:tc>
        <w:tc>
          <w:tcPr>
            <w:tcW w:w="3715" w:type="dxa"/>
          </w:tcPr>
          <w:p w14:paraId="45B09769" w14:textId="03FA7D2B" w:rsidR="005F68B1" w:rsidRPr="00F974A6" w:rsidRDefault="005F68B1" w:rsidP="00F974A6">
            <w:pPr>
              <w:pStyle w:val="ListParagraph"/>
              <w:numPr>
                <w:ilvl w:val="1"/>
                <w:numId w:val="4"/>
              </w:numPr>
              <w:rPr>
                <w:lang w:val="es-MX"/>
              </w:rPr>
            </w:pPr>
            <w:r w:rsidRPr="00622FBF">
              <w:rPr>
                <w:lang w:val="es-MX"/>
              </w:rPr>
              <w:t>Viñeta nueva: "Los repelentes táctiles ahuyentan a la vida silvestre asustando o incomodando a los animales cuando éstos hacen contacto con sustancias pegajosas o picos.”</w:t>
            </w:r>
          </w:p>
        </w:tc>
        <w:tc>
          <w:tcPr>
            <w:tcW w:w="4320" w:type="dxa"/>
          </w:tcPr>
          <w:p w14:paraId="64E15E22" w14:textId="1755FF54" w:rsidR="005F68B1" w:rsidRPr="00622FBF" w:rsidRDefault="005F68B1" w:rsidP="00A342D3">
            <w:r w:rsidRPr="00622FBF">
              <w:rPr>
                <w:lang w:val="es-MX"/>
              </w:rPr>
              <w:t>La descripci</w:t>
            </w:r>
            <w:r>
              <w:rPr>
                <w:lang w:val="es-MX"/>
              </w:rPr>
              <w:t>ón previa de los repelentes táctiles fue omitida en la notas, pero se menciona en la diapositiva.</w:t>
            </w:r>
            <w:r w:rsidRPr="00622FBF">
              <w:rPr>
                <w:lang w:val="es-MX"/>
              </w:rPr>
              <w:t xml:space="preserve"> </w:t>
            </w:r>
          </w:p>
        </w:tc>
      </w:tr>
      <w:tr w:rsidR="005F68B1" w:rsidRPr="00622FBF" w14:paraId="585577F1" w14:textId="77777777" w:rsidTr="00622FBF">
        <w:trPr>
          <w:trHeight w:val="250"/>
        </w:trPr>
        <w:tc>
          <w:tcPr>
            <w:tcW w:w="1527" w:type="dxa"/>
          </w:tcPr>
          <w:p w14:paraId="279935FF" w14:textId="474B0390" w:rsidR="005F68B1" w:rsidRDefault="005F68B1" w:rsidP="0033740F">
            <w:pPr>
              <w:jc w:val="center"/>
            </w:pPr>
            <w:r w:rsidRPr="00622FBF">
              <w:rPr>
                <w:lang w:val="es-MX"/>
              </w:rPr>
              <w:t>4</w:t>
            </w:r>
          </w:p>
        </w:tc>
        <w:tc>
          <w:tcPr>
            <w:tcW w:w="1239" w:type="dxa"/>
          </w:tcPr>
          <w:p w14:paraId="39F18D26" w14:textId="2B7235ED" w:rsidR="005F68B1" w:rsidRDefault="005F68B1" w:rsidP="0033740F">
            <w:pPr>
              <w:jc w:val="center"/>
            </w:pPr>
            <w:r>
              <w:rPr>
                <w:lang w:val="es-MX"/>
              </w:rPr>
              <w:t xml:space="preserve">16, </w:t>
            </w:r>
            <w:r w:rsidRPr="00622FBF">
              <w:rPr>
                <w:lang w:val="es-MX"/>
              </w:rPr>
              <w:t>18</w:t>
            </w:r>
          </w:p>
        </w:tc>
        <w:tc>
          <w:tcPr>
            <w:tcW w:w="3715" w:type="dxa"/>
          </w:tcPr>
          <w:p w14:paraId="096E42DF" w14:textId="21D33512" w:rsidR="005F68B1" w:rsidRPr="00622FBF" w:rsidRDefault="005F68B1" w:rsidP="00587610">
            <w:pPr>
              <w:rPr>
                <w:lang w:val="es-MX"/>
              </w:rPr>
            </w:pPr>
            <w:r>
              <w:t>Reemplazar “comestible” con “cosechable”</w:t>
            </w:r>
          </w:p>
        </w:tc>
        <w:tc>
          <w:tcPr>
            <w:tcW w:w="4320" w:type="dxa"/>
          </w:tcPr>
          <w:p w14:paraId="554F7F6B" w14:textId="4193CC8E" w:rsidR="005F68B1" w:rsidRPr="00622FBF" w:rsidRDefault="005F68B1" w:rsidP="00622FBF">
            <w:pPr>
              <w:rPr>
                <w:lang w:val="es-MX"/>
              </w:rPr>
            </w:pPr>
            <w:r w:rsidRPr="00622FBF">
              <w:rPr>
                <w:lang w:val="es-MX"/>
              </w:rPr>
              <w:t>Importante para mantener consistencia en el uso de terminología proveniente de la Norma de inocuidad de los productos agrícolas frescos de FSMA.</w:t>
            </w:r>
          </w:p>
        </w:tc>
      </w:tr>
      <w:tr w:rsidR="005F68B1" w:rsidRPr="00622FBF" w14:paraId="5615034A" w14:textId="77777777" w:rsidTr="00622FBF">
        <w:trPr>
          <w:trHeight w:val="250"/>
        </w:trPr>
        <w:tc>
          <w:tcPr>
            <w:tcW w:w="1527" w:type="dxa"/>
          </w:tcPr>
          <w:p w14:paraId="2A1B8194" w14:textId="5649CDAF" w:rsidR="005F68B1" w:rsidRPr="00622FBF" w:rsidRDefault="005F68B1" w:rsidP="00935EF1">
            <w:pPr>
              <w:jc w:val="center"/>
              <w:rPr>
                <w:lang w:val="es-MX"/>
              </w:rPr>
            </w:pPr>
            <w:r w:rsidRPr="00622FBF">
              <w:rPr>
                <w:lang w:val="es-MX"/>
              </w:rPr>
              <w:t>4</w:t>
            </w:r>
          </w:p>
        </w:tc>
        <w:tc>
          <w:tcPr>
            <w:tcW w:w="1239" w:type="dxa"/>
          </w:tcPr>
          <w:p w14:paraId="7C46D611" w14:textId="737FDAC8" w:rsidR="005F68B1" w:rsidRPr="00622FBF" w:rsidRDefault="005F68B1" w:rsidP="00935EF1">
            <w:pPr>
              <w:jc w:val="center"/>
              <w:rPr>
                <w:lang w:val="es-MX"/>
              </w:rPr>
            </w:pPr>
            <w:r>
              <w:rPr>
                <w:lang w:val="es-MX"/>
              </w:rPr>
              <w:t>23</w:t>
            </w:r>
          </w:p>
        </w:tc>
        <w:tc>
          <w:tcPr>
            <w:tcW w:w="3715" w:type="dxa"/>
          </w:tcPr>
          <w:p w14:paraId="12C3191F" w14:textId="77777777" w:rsidR="005F68B1" w:rsidRDefault="005F68B1" w:rsidP="00622FBF">
            <w:pPr>
              <w:rPr>
                <w:lang w:val="es-MX"/>
              </w:rPr>
            </w:pPr>
            <w:r>
              <w:rPr>
                <w:lang w:val="es-MX"/>
              </w:rPr>
              <w:t>Reemplazar</w:t>
            </w:r>
            <w:r w:rsidRPr="0061755F">
              <w:rPr>
                <w:lang w:val="es-MX"/>
              </w:rPr>
              <w:t xml:space="preserve"> § 112.</w:t>
            </w:r>
            <w:r>
              <w:rPr>
                <w:lang w:val="es-MX"/>
              </w:rPr>
              <w:t>112(b)(1)</w:t>
            </w:r>
            <w:r w:rsidRPr="0061755F">
              <w:rPr>
                <w:lang w:val="es-MX"/>
              </w:rPr>
              <w:t xml:space="preserve"> </w:t>
            </w:r>
            <w:r>
              <w:rPr>
                <w:lang w:val="es-MX"/>
              </w:rPr>
              <w:t>por</w:t>
            </w:r>
            <w:r w:rsidRPr="0061755F">
              <w:rPr>
                <w:lang w:val="es-MX"/>
              </w:rPr>
              <w:t xml:space="preserve"> § 112.</w:t>
            </w:r>
            <w:r>
              <w:rPr>
                <w:lang w:val="es-MX"/>
              </w:rPr>
              <w:t>22(b)(1).</w:t>
            </w:r>
          </w:p>
          <w:p w14:paraId="61A77AD9" w14:textId="77777777" w:rsidR="005F68B1" w:rsidRDefault="005F68B1" w:rsidP="00622FBF">
            <w:pPr>
              <w:rPr>
                <w:lang w:val="es-MX"/>
              </w:rPr>
            </w:pPr>
            <w:r>
              <w:rPr>
                <w:lang w:val="es-MX"/>
              </w:rPr>
              <w:t>Reemplazar</w:t>
            </w:r>
            <w:r w:rsidRPr="0061755F">
              <w:rPr>
                <w:lang w:val="es-MX"/>
              </w:rPr>
              <w:t xml:space="preserve"> § 112.</w:t>
            </w:r>
            <w:r>
              <w:rPr>
                <w:lang w:val="es-MX"/>
              </w:rPr>
              <w:t>112(b)(3)(vi)</w:t>
            </w:r>
            <w:r w:rsidRPr="0061755F">
              <w:rPr>
                <w:lang w:val="es-MX"/>
              </w:rPr>
              <w:t xml:space="preserve"> </w:t>
            </w:r>
            <w:r>
              <w:rPr>
                <w:lang w:val="es-MX"/>
              </w:rPr>
              <w:t>por</w:t>
            </w:r>
            <w:r w:rsidRPr="0061755F">
              <w:rPr>
                <w:lang w:val="es-MX"/>
              </w:rPr>
              <w:t xml:space="preserve"> § 112.</w:t>
            </w:r>
            <w:r>
              <w:rPr>
                <w:lang w:val="es-MX"/>
              </w:rPr>
              <w:t>32(b)(3)(vi).</w:t>
            </w:r>
          </w:p>
          <w:p w14:paraId="448F3912" w14:textId="0AF92312" w:rsidR="005F68B1" w:rsidRPr="00622FBF" w:rsidRDefault="005F68B1" w:rsidP="00935EF1">
            <w:pPr>
              <w:rPr>
                <w:lang w:val="es-MX"/>
              </w:rPr>
            </w:pPr>
          </w:p>
        </w:tc>
        <w:tc>
          <w:tcPr>
            <w:tcW w:w="4320" w:type="dxa"/>
          </w:tcPr>
          <w:p w14:paraId="458D3AC9" w14:textId="1173A223" w:rsidR="005F68B1" w:rsidRPr="00622FBF" w:rsidRDefault="005F68B1" w:rsidP="00935EF1">
            <w:pPr>
              <w:rPr>
                <w:lang w:val="es-MX"/>
              </w:rPr>
            </w:pPr>
            <w:r>
              <w:rPr>
                <w:lang w:val="es-MX"/>
              </w:rPr>
              <w:t>Error tipográfico.</w:t>
            </w:r>
          </w:p>
        </w:tc>
      </w:tr>
      <w:tr w:rsidR="005F68B1" w:rsidRPr="00622FBF" w14:paraId="0A752779" w14:textId="77777777" w:rsidTr="00622FBF">
        <w:trPr>
          <w:trHeight w:val="250"/>
        </w:trPr>
        <w:tc>
          <w:tcPr>
            <w:tcW w:w="1527" w:type="dxa"/>
          </w:tcPr>
          <w:p w14:paraId="7C964D78" w14:textId="0D3F2A94" w:rsidR="005F68B1" w:rsidRPr="00622FBF" w:rsidRDefault="005F68B1" w:rsidP="00A87B14">
            <w:pPr>
              <w:jc w:val="center"/>
              <w:rPr>
                <w:lang w:val="es-MX"/>
              </w:rPr>
            </w:pPr>
            <w:r>
              <w:t>5.1</w:t>
            </w:r>
          </w:p>
        </w:tc>
        <w:tc>
          <w:tcPr>
            <w:tcW w:w="1239" w:type="dxa"/>
          </w:tcPr>
          <w:p w14:paraId="526D80A2" w14:textId="00B6AABD" w:rsidR="005F68B1" w:rsidRPr="00622FBF" w:rsidRDefault="005F68B1" w:rsidP="00A87B14">
            <w:pPr>
              <w:jc w:val="center"/>
              <w:rPr>
                <w:lang w:val="es-MX"/>
              </w:rPr>
            </w:pPr>
            <w:r>
              <w:t>3 (Nueva)</w:t>
            </w:r>
          </w:p>
        </w:tc>
        <w:tc>
          <w:tcPr>
            <w:tcW w:w="3715" w:type="dxa"/>
          </w:tcPr>
          <w:p w14:paraId="70261DFF" w14:textId="7AC0B673" w:rsidR="005F68B1" w:rsidRPr="00622FBF" w:rsidRDefault="005F68B1" w:rsidP="00622FBF">
            <w:pPr>
              <w:rPr>
                <w:lang w:val="es-MX"/>
              </w:rPr>
            </w:pPr>
            <w:r w:rsidRPr="00B77E07">
              <w:rPr>
                <w:lang w:val="es-MX"/>
              </w:rPr>
              <w:t>Se agregó esta diapositiva</w:t>
            </w:r>
            <w:r>
              <w:rPr>
                <w:lang w:val="es-MX"/>
              </w:rPr>
              <w:t xml:space="preserve"> “FDA-Extensión de las fechas de cumplimiento</w:t>
            </w:r>
            <w:r w:rsidRPr="00B77E07">
              <w:rPr>
                <w:lang w:val="es-MX"/>
              </w:rPr>
              <w:t>”</w:t>
            </w:r>
          </w:p>
        </w:tc>
        <w:tc>
          <w:tcPr>
            <w:tcW w:w="4320" w:type="dxa"/>
          </w:tcPr>
          <w:p w14:paraId="3FD31C1D" w14:textId="6326F4B2" w:rsidR="005F68B1" w:rsidRPr="00622FBF" w:rsidRDefault="005F68B1" w:rsidP="00A87B14">
            <w:pPr>
              <w:rPr>
                <w:lang w:val="es-MX"/>
              </w:rPr>
            </w:pPr>
            <w:r w:rsidRPr="0030226B">
              <w:rPr>
                <w:lang w:val="es-ES"/>
              </w:rPr>
              <w:t xml:space="preserve">Proporciona actualizaciones sobre la </w:t>
            </w:r>
            <w:hyperlink r:id="rId6" w:history="1">
              <w:r w:rsidRPr="0030226B">
                <w:rPr>
                  <w:rStyle w:val="Hyperlink"/>
                  <w:lang w:val="es-ES"/>
                </w:rPr>
                <w:t>Norma final</w:t>
              </w:r>
            </w:hyperlink>
            <w:r w:rsidRPr="0030226B">
              <w:rPr>
                <w:lang w:val="es-ES"/>
              </w:rPr>
              <w:t xml:space="preserve"> para extender las fechas de cumplimiento de la Subparte E.</w:t>
            </w:r>
          </w:p>
        </w:tc>
      </w:tr>
      <w:tr w:rsidR="005F68B1" w:rsidRPr="0030226B" w14:paraId="4B043424" w14:textId="77777777" w:rsidTr="00622FBF">
        <w:trPr>
          <w:trHeight w:val="250"/>
        </w:trPr>
        <w:tc>
          <w:tcPr>
            <w:tcW w:w="1527" w:type="dxa"/>
          </w:tcPr>
          <w:p w14:paraId="3A6AA1BC" w14:textId="0032F05B" w:rsidR="005F68B1" w:rsidRDefault="005F68B1" w:rsidP="0033740F">
            <w:pPr>
              <w:jc w:val="center"/>
            </w:pPr>
            <w:r>
              <w:t>5.1</w:t>
            </w:r>
          </w:p>
        </w:tc>
        <w:tc>
          <w:tcPr>
            <w:tcW w:w="1239" w:type="dxa"/>
          </w:tcPr>
          <w:p w14:paraId="7E97808E" w14:textId="2F126E0A" w:rsidR="005F68B1" w:rsidRDefault="005F68B1" w:rsidP="00B77E07">
            <w:pPr>
              <w:jc w:val="center"/>
            </w:pPr>
            <w:r>
              <w:t>22</w:t>
            </w:r>
          </w:p>
        </w:tc>
        <w:tc>
          <w:tcPr>
            <w:tcW w:w="3715" w:type="dxa"/>
          </w:tcPr>
          <w:p w14:paraId="64BA0744" w14:textId="3250D11B" w:rsidR="005F68B1" w:rsidRPr="00B77E07" w:rsidRDefault="005F68B1" w:rsidP="0030226B">
            <w:pPr>
              <w:rPr>
                <w:lang w:val="es-MX"/>
              </w:rPr>
            </w:pPr>
            <w:r w:rsidRPr="0030226B">
              <w:rPr>
                <w:lang w:val="es-MX"/>
              </w:rPr>
              <w:t>Cambios significativos realizados en la diapositiva 2</w:t>
            </w:r>
            <w:r>
              <w:rPr>
                <w:lang w:val="es-MX"/>
              </w:rPr>
              <w:t>2</w:t>
            </w:r>
            <w:r w:rsidRPr="0030226B">
              <w:rPr>
                <w:lang w:val="es-MX"/>
              </w:rPr>
              <w:t>, V 1.1, “</w:t>
            </w:r>
            <w:r>
              <w:rPr>
                <w:lang w:val="es-MX"/>
              </w:rPr>
              <w:t>Media geométrica y valor del umbral estadístico</w:t>
            </w:r>
            <w:r w:rsidRPr="0030226B">
              <w:rPr>
                <w:lang w:val="es-MX"/>
              </w:rPr>
              <w:t>”</w:t>
            </w:r>
          </w:p>
        </w:tc>
        <w:tc>
          <w:tcPr>
            <w:tcW w:w="4320" w:type="dxa"/>
          </w:tcPr>
          <w:p w14:paraId="03FA035E" w14:textId="0B41D06A" w:rsidR="005F68B1" w:rsidRPr="0030226B" w:rsidRDefault="005F68B1" w:rsidP="00A342D3">
            <w:pPr>
              <w:rPr>
                <w:lang w:val="es-MX"/>
              </w:rPr>
            </w:pPr>
            <w:r w:rsidRPr="0030226B">
              <w:rPr>
                <w:lang w:val="es-MX"/>
              </w:rPr>
              <w:t xml:space="preserve">Favor de revisar la nueva versión de esta diapositiva en </w:t>
            </w:r>
            <w:r>
              <w:rPr>
                <w:lang w:val="es-MX"/>
              </w:rPr>
              <w:t xml:space="preserve">la diapositiva 23 de la </w:t>
            </w:r>
            <w:r w:rsidRPr="0030226B">
              <w:rPr>
                <w:lang w:val="es-MX"/>
              </w:rPr>
              <w:t xml:space="preserve">V </w:t>
            </w:r>
            <w:r>
              <w:rPr>
                <w:lang w:val="es-MX"/>
              </w:rPr>
              <w:t>1.2.</w:t>
            </w:r>
          </w:p>
        </w:tc>
      </w:tr>
      <w:tr w:rsidR="005F68B1" w:rsidRPr="0030226B" w14:paraId="56AC8578" w14:textId="77777777" w:rsidTr="00622FBF">
        <w:trPr>
          <w:trHeight w:val="250"/>
        </w:trPr>
        <w:tc>
          <w:tcPr>
            <w:tcW w:w="1527" w:type="dxa"/>
          </w:tcPr>
          <w:p w14:paraId="2748D86A" w14:textId="4FB588CE" w:rsidR="005F68B1" w:rsidRDefault="005F68B1" w:rsidP="0033740F">
            <w:pPr>
              <w:jc w:val="center"/>
            </w:pPr>
            <w:r>
              <w:t>5.1</w:t>
            </w:r>
          </w:p>
        </w:tc>
        <w:tc>
          <w:tcPr>
            <w:tcW w:w="1239" w:type="dxa"/>
          </w:tcPr>
          <w:p w14:paraId="7B568215" w14:textId="0B175536" w:rsidR="005F68B1" w:rsidRDefault="005F68B1" w:rsidP="006F6C9A">
            <w:pPr>
              <w:jc w:val="center"/>
            </w:pPr>
            <w:r>
              <w:t>22</w:t>
            </w:r>
          </w:p>
        </w:tc>
        <w:tc>
          <w:tcPr>
            <w:tcW w:w="3715" w:type="dxa"/>
          </w:tcPr>
          <w:p w14:paraId="0ABF59B1" w14:textId="6348AC92" w:rsidR="005F68B1" w:rsidRPr="0030226B" w:rsidRDefault="005F68B1" w:rsidP="006F6C9A">
            <w:pPr>
              <w:rPr>
                <w:lang w:val="es-MX"/>
              </w:rPr>
            </w:pPr>
            <w:r w:rsidRPr="006F6C9A">
              <w:rPr>
                <w:lang w:val="es-MX"/>
              </w:rPr>
              <w:t>Cambiar a: "</w:t>
            </w:r>
            <w:r w:rsidRPr="006F6C9A">
              <w:rPr>
                <w:lang w:val="es-ES_tradnl"/>
              </w:rPr>
              <w:t>Existen herramientas disponibles para calcular la MG y</w:t>
            </w:r>
            <w:r>
              <w:rPr>
                <w:lang w:val="es-ES_tradnl"/>
              </w:rPr>
              <w:t xml:space="preserve"> el VUE. Es importante entender </w:t>
            </w:r>
            <w:r w:rsidRPr="006F6C9A">
              <w:rPr>
                <w:lang w:val="es-ES_tradnl"/>
              </w:rPr>
              <w:t xml:space="preserve">que dependiendo del tamaño de la </w:t>
            </w:r>
            <w:r w:rsidRPr="006F6C9A">
              <w:rPr>
                <w:lang w:val="es-ES_tradnl"/>
              </w:rPr>
              <w:lastRenderedPageBreak/>
              <w:t>empresa, los productores tendrán de enero de 2022 a enero de 2024 para iniciar el muestreo en la formación del PCMA y de otra forma cumplir con los requisitos del agua de uso agrícola, a menos que los req</w:t>
            </w:r>
            <w:r>
              <w:rPr>
                <w:lang w:val="es-ES_tradnl"/>
              </w:rPr>
              <w:t>uisitos cambien mientras tanto.</w:t>
            </w:r>
            <w:r w:rsidRPr="006F6C9A">
              <w:rPr>
                <w:lang w:val="es-MX"/>
              </w:rPr>
              <w:t>”</w:t>
            </w:r>
          </w:p>
        </w:tc>
        <w:tc>
          <w:tcPr>
            <w:tcW w:w="4320" w:type="dxa"/>
          </w:tcPr>
          <w:p w14:paraId="2D0E5301" w14:textId="0FB09DA6" w:rsidR="005F68B1" w:rsidRPr="0030226B" w:rsidRDefault="005F68B1" w:rsidP="0030226B">
            <w:pPr>
              <w:rPr>
                <w:lang w:val="es-MX"/>
              </w:rPr>
            </w:pPr>
            <w:r>
              <w:rPr>
                <w:lang w:val="es-MX"/>
              </w:rPr>
              <w:lastRenderedPageBreak/>
              <w:t>Refleja</w:t>
            </w:r>
            <w:r w:rsidRPr="006F6C9A">
              <w:rPr>
                <w:lang w:val="es-MX"/>
              </w:rPr>
              <w:t xml:space="preserve"> la Norma final para extender las fechas de cumplimiento de la Subparte E. </w:t>
            </w:r>
          </w:p>
        </w:tc>
      </w:tr>
      <w:tr w:rsidR="005F68B1" w:rsidRPr="006F6C9A" w14:paraId="12C59F50" w14:textId="77777777" w:rsidTr="00622FBF">
        <w:trPr>
          <w:trHeight w:val="250"/>
        </w:trPr>
        <w:tc>
          <w:tcPr>
            <w:tcW w:w="1527" w:type="dxa"/>
          </w:tcPr>
          <w:p w14:paraId="07CD5CA7" w14:textId="67F1CB64" w:rsidR="005F68B1" w:rsidRDefault="005F68B1" w:rsidP="0033740F">
            <w:pPr>
              <w:jc w:val="center"/>
            </w:pPr>
            <w:r w:rsidRPr="006F6C9A">
              <w:rPr>
                <w:lang w:val="es-MX"/>
              </w:rPr>
              <w:t>5.1</w:t>
            </w:r>
          </w:p>
        </w:tc>
        <w:tc>
          <w:tcPr>
            <w:tcW w:w="1239" w:type="dxa"/>
          </w:tcPr>
          <w:p w14:paraId="72E4F76D" w14:textId="2C888ED4" w:rsidR="005F68B1" w:rsidRDefault="005F68B1" w:rsidP="006F6C9A">
            <w:pPr>
              <w:jc w:val="center"/>
            </w:pPr>
            <w:r w:rsidRPr="006F6C9A">
              <w:rPr>
                <w:lang w:val="es-MX"/>
              </w:rPr>
              <w:t>25 (</w:t>
            </w:r>
            <w:r>
              <w:rPr>
                <w:lang w:val="es-MX"/>
              </w:rPr>
              <w:t>Nueva)</w:t>
            </w:r>
          </w:p>
        </w:tc>
        <w:tc>
          <w:tcPr>
            <w:tcW w:w="3715" w:type="dxa"/>
          </w:tcPr>
          <w:p w14:paraId="7A4B8DBB" w14:textId="4F0ABF19" w:rsidR="005F68B1" w:rsidRPr="006F6C9A" w:rsidRDefault="005F68B1" w:rsidP="00587610">
            <w:pPr>
              <w:rPr>
                <w:lang w:val="es-MX"/>
              </w:rPr>
            </w:pPr>
            <w:r w:rsidRPr="006F6C9A">
              <w:rPr>
                <w:lang w:val="es-MX"/>
              </w:rPr>
              <w:t>Se agregó una diapositiva nueva después de la diapositiva 25 en la V 1.1, "</w:t>
            </w:r>
            <w:r>
              <w:rPr>
                <w:lang w:val="es-MX"/>
              </w:rPr>
              <w:t>Evaluación actual de la calidad del agua</w:t>
            </w:r>
            <w:r w:rsidRPr="006F6C9A">
              <w:rPr>
                <w:lang w:val="es-MX"/>
              </w:rPr>
              <w:t>"</w:t>
            </w:r>
          </w:p>
        </w:tc>
        <w:tc>
          <w:tcPr>
            <w:tcW w:w="4320" w:type="dxa"/>
          </w:tcPr>
          <w:p w14:paraId="36CACBCF" w14:textId="687F0448" w:rsidR="005F68B1" w:rsidRPr="006F6C9A" w:rsidRDefault="005F68B1" w:rsidP="006F6C9A">
            <w:pPr>
              <w:rPr>
                <w:lang w:val="es-MX"/>
              </w:rPr>
            </w:pPr>
            <w:r>
              <w:rPr>
                <w:lang w:val="es-ES"/>
              </w:rPr>
              <w:t xml:space="preserve">Aborda cuestionamientos de </w:t>
            </w:r>
            <w:r w:rsidRPr="006F6C9A">
              <w:rPr>
                <w:lang w:val="es-ES"/>
              </w:rPr>
              <w:t xml:space="preserve">productores sobre lo que deberían estar haciendo </w:t>
            </w:r>
            <w:r>
              <w:rPr>
                <w:lang w:val="es-ES"/>
              </w:rPr>
              <w:t xml:space="preserve">en estos momentos </w:t>
            </w:r>
            <w:r w:rsidRPr="006F6C9A">
              <w:rPr>
                <w:lang w:val="es-ES"/>
              </w:rPr>
              <w:t xml:space="preserve">con respecto a </w:t>
            </w:r>
            <w:r>
              <w:rPr>
                <w:lang w:val="es-ES"/>
              </w:rPr>
              <w:t xml:space="preserve">los análisis de agua </w:t>
            </w:r>
            <w:r w:rsidRPr="006F6C9A">
              <w:rPr>
                <w:lang w:val="es-ES"/>
              </w:rPr>
              <w:t>a pesar de que las fechas de cumplimiento del agua se han extendido.</w:t>
            </w:r>
          </w:p>
        </w:tc>
      </w:tr>
      <w:tr w:rsidR="005F68B1" w:rsidRPr="000F5B8A" w14:paraId="5E1B7A5B" w14:textId="77777777" w:rsidTr="00622FBF">
        <w:trPr>
          <w:trHeight w:val="250"/>
        </w:trPr>
        <w:tc>
          <w:tcPr>
            <w:tcW w:w="1527" w:type="dxa"/>
          </w:tcPr>
          <w:p w14:paraId="7A443A30" w14:textId="4452D02B" w:rsidR="005F68B1" w:rsidRPr="006F6C9A" w:rsidRDefault="005F68B1" w:rsidP="0033740F">
            <w:pPr>
              <w:jc w:val="center"/>
              <w:rPr>
                <w:lang w:val="es-MX"/>
              </w:rPr>
            </w:pPr>
            <w:r>
              <w:t>5.1</w:t>
            </w:r>
          </w:p>
        </w:tc>
        <w:tc>
          <w:tcPr>
            <w:tcW w:w="1239" w:type="dxa"/>
          </w:tcPr>
          <w:p w14:paraId="47620955" w14:textId="77777777" w:rsidR="005F68B1" w:rsidRDefault="005F68B1" w:rsidP="0033740F">
            <w:pPr>
              <w:jc w:val="center"/>
            </w:pPr>
            <w:r>
              <w:t>28</w:t>
            </w:r>
          </w:p>
          <w:p w14:paraId="7C38DC45" w14:textId="3808DF0F" w:rsidR="005F68B1" w:rsidRPr="006F6C9A" w:rsidRDefault="005F68B1" w:rsidP="006F6C9A">
            <w:pPr>
              <w:jc w:val="center"/>
              <w:rPr>
                <w:lang w:val="es-MX"/>
              </w:rPr>
            </w:pPr>
          </w:p>
        </w:tc>
        <w:tc>
          <w:tcPr>
            <w:tcW w:w="3715" w:type="dxa"/>
          </w:tcPr>
          <w:p w14:paraId="145DB111" w14:textId="625EBEA3" w:rsidR="005F68B1" w:rsidRPr="006F6C9A" w:rsidRDefault="005F68B1" w:rsidP="006F6C9A">
            <w:pPr>
              <w:rPr>
                <w:lang w:val="es-MX"/>
              </w:rPr>
            </w:pPr>
            <w:r w:rsidRPr="000F5B8A">
              <w:rPr>
                <w:lang w:val="es-MX"/>
              </w:rPr>
              <w:t>Cambios significativos realizados en la diapositiva 28, V 1.1, “¿Dónde puedo analizar las muestras</w:t>
            </w:r>
            <w:r>
              <w:rPr>
                <w:lang w:val="es-MX"/>
              </w:rPr>
              <w:t>?</w:t>
            </w:r>
            <w:r w:rsidRPr="000F5B8A">
              <w:rPr>
                <w:lang w:val="es-MX"/>
              </w:rPr>
              <w:t>”</w:t>
            </w:r>
          </w:p>
        </w:tc>
        <w:tc>
          <w:tcPr>
            <w:tcW w:w="4320" w:type="dxa"/>
          </w:tcPr>
          <w:p w14:paraId="51584972" w14:textId="721A54C1" w:rsidR="005F68B1" w:rsidRPr="000F5B8A" w:rsidRDefault="005F68B1" w:rsidP="000F5B8A">
            <w:pPr>
              <w:rPr>
                <w:lang w:val="es-MX"/>
              </w:rPr>
            </w:pPr>
            <w:r w:rsidRPr="0030226B">
              <w:rPr>
                <w:lang w:val="es-MX"/>
              </w:rPr>
              <w:t xml:space="preserve">Favor de revisar la nueva versión de esta diapositiva en </w:t>
            </w:r>
            <w:r>
              <w:rPr>
                <w:lang w:val="es-MX"/>
              </w:rPr>
              <w:t xml:space="preserve">la diapositiva 31 de la </w:t>
            </w:r>
            <w:r w:rsidRPr="0030226B">
              <w:rPr>
                <w:lang w:val="es-MX"/>
              </w:rPr>
              <w:t xml:space="preserve">V </w:t>
            </w:r>
            <w:r>
              <w:rPr>
                <w:lang w:val="es-MX"/>
              </w:rPr>
              <w:t>1.2.</w:t>
            </w:r>
          </w:p>
        </w:tc>
      </w:tr>
      <w:tr w:rsidR="005F68B1" w:rsidRPr="000F5B8A" w14:paraId="42E77DF8" w14:textId="77777777" w:rsidTr="00622FBF">
        <w:trPr>
          <w:trHeight w:val="250"/>
        </w:trPr>
        <w:tc>
          <w:tcPr>
            <w:tcW w:w="1527" w:type="dxa"/>
          </w:tcPr>
          <w:p w14:paraId="3CB7B897" w14:textId="62540478" w:rsidR="005F68B1" w:rsidRDefault="005F68B1" w:rsidP="003A74EC">
            <w:pPr>
              <w:jc w:val="center"/>
            </w:pPr>
            <w:r>
              <w:t>5.1</w:t>
            </w:r>
          </w:p>
        </w:tc>
        <w:tc>
          <w:tcPr>
            <w:tcW w:w="1239" w:type="dxa"/>
          </w:tcPr>
          <w:p w14:paraId="5DAB6C7B" w14:textId="4C3C4FE0" w:rsidR="005F68B1" w:rsidRDefault="005F68B1" w:rsidP="0033740F">
            <w:pPr>
              <w:jc w:val="center"/>
            </w:pPr>
            <w:r>
              <w:t>Nuevas</w:t>
            </w:r>
          </w:p>
        </w:tc>
        <w:tc>
          <w:tcPr>
            <w:tcW w:w="3715" w:type="dxa"/>
          </w:tcPr>
          <w:p w14:paraId="2B74BE9A" w14:textId="33D9BAA0" w:rsidR="005F68B1" w:rsidRPr="000F5B8A" w:rsidRDefault="005F68B1" w:rsidP="000F5B8A">
            <w:pPr>
              <w:rPr>
                <w:lang w:val="es-MX"/>
              </w:rPr>
            </w:pPr>
            <w:r w:rsidRPr="000F5B8A">
              <w:rPr>
                <w:lang w:val="es-MX"/>
              </w:rPr>
              <w:t>Dos diapositivas opcionales fueron agregadas para abordar las Metodolog</w:t>
            </w:r>
            <w:r>
              <w:rPr>
                <w:lang w:val="es-MX"/>
              </w:rPr>
              <w:t>ías equivalentes</w:t>
            </w:r>
            <w:r w:rsidRPr="000F5B8A">
              <w:rPr>
                <w:lang w:val="es-MX"/>
              </w:rPr>
              <w:t xml:space="preserve"> para el an</w:t>
            </w:r>
            <w:r>
              <w:rPr>
                <w:lang w:val="es-MX"/>
              </w:rPr>
              <w:t>álisis del agua</w:t>
            </w:r>
            <w:r w:rsidRPr="000F5B8A">
              <w:rPr>
                <w:lang w:val="es-MX"/>
              </w:rPr>
              <w:t xml:space="preserve">. </w:t>
            </w:r>
          </w:p>
        </w:tc>
        <w:tc>
          <w:tcPr>
            <w:tcW w:w="4320" w:type="dxa"/>
          </w:tcPr>
          <w:p w14:paraId="17D82D8B" w14:textId="2680450E" w:rsidR="005F68B1" w:rsidRPr="000F5B8A" w:rsidRDefault="005F68B1" w:rsidP="000F5B8A">
            <w:pPr>
              <w:rPr>
                <w:lang w:val="es-MX"/>
              </w:rPr>
            </w:pPr>
            <w:r>
              <w:rPr>
                <w:lang w:val="es-MX"/>
              </w:rPr>
              <w:t>La d</w:t>
            </w:r>
            <w:r w:rsidRPr="000F5B8A">
              <w:rPr>
                <w:lang w:val="es-MX"/>
              </w:rPr>
              <w:t>iapositiva 32, V 1.2 abarca análisis que pueden ser usados tanto para el agua de uso agr</w:t>
            </w:r>
            <w:r>
              <w:rPr>
                <w:lang w:val="es-MX"/>
              </w:rPr>
              <w:t>ícola en la producción como en la cosecha</w:t>
            </w:r>
            <w:r w:rsidRPr="000F5B8A">
              <w:rPr>
                <w:lang w:val="es-MX"/>
              </w:rPr>
              <w:t xml:space="preserve">/postcosecha. </w:t>
            </w:r>
            <w:r>
              <w:rPr>
                <w:lang w:val="es-MX"/>
              </w:rPr>
              <w:t>La d</w:t>
            </w:r>
            <w:r w:rsidRPr="000F5B8A">
              <w:rPr>
                <w:lang w:val="es-MX"/>
              </w:rPr>
              <w:t xml:space="preserve">iapositiva 33, V 1.2 abarca métodos de presencia/ausencia que pueden ser usados para </w:t>
            </w:r>
            <w:r>
              <w:rPr>
                <w:lang w:val="es-MX"/>
              </w:rPr>
              <w:t xml:space="preserve">el agua que se utiliza durante la cosecha y postcosecha. </w:t>
            </w:r>
          </w:p>
        </w:tc>
      </w:tr>
      <w:tr w:rsidR="005F68B1" w:rsidRPr="00100754" w14:paraId="1BE020F0" w14:textId="77777777" w:rsidTr="00622FBF">
        <w:trPr>
          <w:trHeight w:val="250"/>
        </w:trPr>
        <w:tc>
          <w:tcPr>
            <w:tcW w:w="1527" w:type="dxa"/>
          </w:tcPr>
          <w:p w14:paraId="2E099B9E" w14:textId="0D03F15F" w:rsidR="005F68B1" w:rsidRDefault="005F68B1" w:rsidP="0033740F">
            <w:pPr>
              <w:jc w:val="center"/>
            </w:pPr>
            <w:r>
              <w:t>5.1</w:t>
            </w:r>
          </w:p>
        </w:tc>
        <w:tc>
          <w:tcPr>
            <w:tcW w:w="1239" w:type="dxa"/>
          </w:tcPr>
          <w:p w14:paraId="4A07962E" w14:textId="65B6CDD8" w:rsidR="005F68B1" w:rsidRDefault="005F68B1" w:rsidP="0033740F">
            <w:pPr>
              <w:jc w:val="center"/>
            </w:pPr>
            <w:r>
              <w:t>32</w:t>
            </w:r>
          </w:p>
        </w:tc>
        <w:tc>
          <w:tcPr>
            <w:tcW w:w="3715" w:type="dxa"/>
          </w:tcPr>
          <w:p w14:paraId="31A02430" w14:textId="793C8CC2" w:rsidR="005F68B1" w:rsidRPr="000F5B8A" w:rsidRDefault="005F68B1" w:rsidP="000F5B8A">
            <w:pPr>
              <w:rPr>
                <w:lang w:val="es-MX"/>
              </w:rPr>
            </w:pPr>
            <w:r w:rsidRPr="00100754">
              <w:rPr>
                <w:lang w:val="es-MX"/>
              </w:rPr>
              <w:t>Cambios significativos realizados en la diapositiva 32, V 1.1, “Medidas correctivas: tratamiento del agua para la producci</w:t>
            </w:r>
            <w:r>
              <w:rPr>
                <w:lang w:val="es-MX"/>
              </w:rPr>
              <w:t>ón</w:t>
            </w:r>
            <w:r w:rsidRPr="00100754">
              <w:rPr>
                <w:lang w:val="es-MX"/>
              </w:rPr>
              <w:t>”</w:t>
            </w:r>
          </w:p>
        </w:tc>
        <w:tc>
          <w:tcPr>
            <w:tcW w:w="4320" w:type="dxa"/>
          </w:tcPr>
          <w:p w14:paraId="08211B7E" w14:textId="117CC9E4" w:rsidR="005F68B1" w:rsidRPr="00100754" w:rsidRDefault="005F68B1" w:rsidP="00100754">
            <w:pPr>
              <w:rPr>
                <w:lang w:val="es-MX"/>
              </w:rPr>
            </w:pPr>
            <w:r w:rsidRPr="0030226B">
              <w:rPr>
                <w:lang w:val="es-MX"/>
              </w:rPr>
              <w:t xml:space="preserve">Favor de revisar la nueva versión de esta diapositiva en </w:t>
            </w:r>
            <w:r>
              <w:rPr>
                <w:lang w:val="es-MX"/>
              </w:rPr>
              <w:t xml:space="preserve">la diapositiva 31 de la </w:t>
            </w:r>
            <w:r w:rsidRPr="0030226B">
              <w:rPr>
                <w:lang w:val="es-MX"/>
              </w:rPr>
              <w:t xml:space="preserve">V </w:t>
            </w:r>
            <w:r>
              <w:rPr>
                <w:lang w:val="es-MX"/>
              </w:rPr>
              <w:t>1.2.</w:t>
            </w:r>
          </w:p>
        </w:tc>
      </w:tr>
      <w:tr w:rsidR="005F68B1" w:rsidRPr="00100754" w14:paraId="40C368B9" w14:textId="77777777" w:rsidTr="00622FBF">
        <w:trPr>
          <w:trHeight w:val="250"/>
        </w:trPr>
        <w:tc>
          <w:tcPr>
            <w:tcW w:w="1527" w:type="dxa"/>
          </w:tcPr>
          <w:p w14:paraId="641C1B53" w14:textId="426399A8" w:rsidR="005F68B1" w:rsidRDefault="005F68B1" w:rsidP="0033740F">
            <w:pPr>
              <w:jc w:val="center"/>
            </w:pPr>
            <w:r>
              <w:t>5.2</w:t>
            </w:r>
          </w:p>
        </w:tc>
        <w:tc>
          <w:tcPr>
            <w:tcW w:w="1239" w:type="dxa"/>
          </w:tcPr>
          <w:p w14:paraId="434292C4" w14:textId="6952EAFA" w:rsidR="005F68B1" w:rsidRDefault="005F68B1" w:rsidP="0033740F">
            <w:pPr>
              <w:jc w:val="center"/>
            </w:pPr>
            <w:r>
              <w:t>46</w:t>
            </w:r>
          </w:p>
        </w:tc>
        <w:tc>
          <w:tcPr>
            <w:tcW w:w="3715" w:type="dxa"/>
          </w:tcPr>
          <w:p w14:paraId="38CD26AC" w14:textId="78D1C4E3" w:rsidR="005F68B1" w:rsidRPr="00100754" w:rsidRDefault="005F68B1" w:rsidP="00100754">
            <w:pPr>
              <w:rPr>
                <w:lang w:val="es-MX"/>
              </w:rPr>
            </w:pPr>
            <w:r w:rsidRPr="004C2B08">
              <w:rPr>
                <w:lang w:val="es-MX"/>
              </w:rPr>
              <w:t>Cambiar a: "</w:t>
            </w:r>
            <w:r w:rsidRPr="004C2B08">
              <w:rPr>
                <w:lang w:val="es-ES_tradnl"/>
              </w:rPr>
              <w:t>Los tratamientos de agua que tienen contacto con los productos agrícolas frescos, incluyendo el uso de desinfectantes, tienen que</w:t>
            </w:r>
            <w:r>
              <w:rPr>
                <w:lang w:val="es-ES_tradnl"/>
              </w:rPr>
              <w:t xml:space="preserve"> estar registrados para ese uso</w:t>
            </w:r>
            <w:r w:rsidRPr="004C2B08">
              <w:rPr>
                <w:lang w:val="es-MX"/>
              </w:rPr>
              <w:t>."</w:t>
            </w:r>
          </w:p>
        </w:tc>
        <w:tc>
          <w:tcPr>
            <w:tcW w:w="4320" w:type="dxa"/>
          </w:tcPr>
          <w:p w14:paraId="3AD2F822" w14:textId="69FDC387" w:rsidR="005F68B1" w:rsidRPr="004C2B08" w:rsidRDefault="005F68B1" w:rsidP="00A342D3">
            <w:r w:rsidRPr="004C2B08">
              <w:rPr>
                <w:lang w:val="es-MX"/>
              </w:rPr>
              <w:t>Se eliminó ‘ante la EPA’, ya que la FDA y otros podr</w:t>
            </w:r>
            <w:r>
              <w:rPr>
                <w:lang w:val="es-MX"/>
              </w:rPr>
              <w:t>ían estar involucrados en el establecimiento de parámetros de uso</w:t>
            </w:r>
            <w:r w:rsidRPr="004C2B08">
              <w:rPr>
                <w:lang w:val="es-MX"/>
              </w:rPr>
              <w:t xml:space="preserve">. </w:t>
            </w:r>
          </w:p>
        </w:tc>
      </w:tr>
      <w:tr w:rsidR="005F68B1" w:rsidRPr="004C2B08" w14:paraId="326778DF" w14:textId="77777777" w:rsidTr="00622FBF">
        <w:trPr>
          <w:trHeight w:val="250"/>
        </w:trPr>
        <w:tc>
          <w:tcPr>
            <w:tcW w:w="1527" w:type="dxa"/>
          </w:tcPr>
          <w:p w14:paraId="48DA2E20" w14:textId="6F799696" w:rsidR="005F68B1" w:rsidRDefault="005F68B1" w:rsidP="0033740F">
            <w:pPr>
              <w:jc w:val="center"/>
            </w:pPr>
            <w:r>
              <w:t>5.2</w:t>
            </w:r>
          </w:p>
        </w:tc>
        <w:tc>
          <w:tcPr>
            <w:tcW w:w="1239" w:type="dxa"/>
          </w:tcPr>
          <w:p w14:paraId="00CA47E3" w14:textId="6EC8FCEE" w:rsidR="005F68B1" w:rsidRDefault="005F68B1" w:rsidP="0033740F">
            <w:pPr>
              <w:jc w:val="center"/>
            </w:pPr>
            <w:r>
              <w:t>60</w:t>
            </w:r>
          </w:p>
        </w:tc>
        <w:tc>
          <w:tcPr>
            <w:tcW w:w="3715" w:type="dxa"/>
          </w:tcPr>
          <w:p w14:paraId="120BC7CD" w14:textId="13D92CE3" w:rsidR="005F68B1" w:rsidRPr="004C2B08" w:rsidRDefault="005F68B1" w:rsidP="004C2B08">
            <w:pPr>
              <w:rPr>
                <w:lang w:val="es-MX"/>
              </w:rPr>
            </w:pPr>
            <w:r w:rsidRPr="004C2B08">
              <w:rPr>
                <w:lang w:val="es-MX"/>
              </w:rPr>
              <w:t xml:space="preserve">Se agregaron </w:t>
            </w:r>
            <w:r>
              <w:rPr>
                <w:lang w:val="es-MX"/>
              </w:rPr>
              <w:t xml:space="preserve">referencias </w:t>
            </w:r>
            <w:r w:rsidRPr="004C2B08">
              <w:rPr>
                <w:lang w:val="es-MX"/>
              </w:rPr>
              <w:t xml:space="preserve">en la sección de </w:t>
            </w:r>
            <w:r>
              <w:rPr>
                <w:lang w:val="es-MX"/>
              </w:rPr>
              <w:t>recursos adicionales.</w:t>
            </w:r>
            <w:r w:rsidRPr="004C2B08">
              <w:rPr>
                <w:lang w:val="es-MX"/>
              </w:rPr>
              <w:t xml:space="preserve"> </w:t>
            </w:r>
          </w:p>
        </w:tc>
        <w:tc>
          <w:tcPr>
            <w:tcW w:w="4320" w:type="dxa"/>
          </w:tcPr>
          <w:p w14:paraId="2D386959" w14:textId="77777777" w:rsidR="005F68B1" w:rsidRDefault="005F68B1" w:rsidP="00B65A58">
            <w:pPr>
              <w:pStyle w:val="ListParagraph"/>
              <w:numPr>
                <w:ilvl w:val="0"/>
                <w:numId w:val="4"/>
              </w:numPr>
            </w:pPr>
            <w:r w:rsidRPr="004C2B08">
              <w:rPr>
                <w:lang w:val="es-MX"/>
              </w:rPr>
              <w:t xml:space="preserve">Clements, D., Wall, G., Stoeckel, D., Fisk, C., Woods, K., &amp; Bihn, E. </w:t>
            </w:r>
            <w:hyperlink r:id="rId7" w:history="1">
              <w:r w:rsidRPr="00B65A58">
                <w:rPr>
                  <w:rStyle w:val="Hyperlink"/>
                </w:rPr>
                <w:t>Introduction to Selecting an EPA-Labeled Sanitizer. Produce Safety Alliance.</w:t>
              </w:r>
            </w:hyperlink>
          </w:p>
          <w:p w14:paraId="528FB091" w14:textId="682E4A28" w:rsidR="005F68B1" w:rsidRPr="004C2B08" w:rsidRDefault="005F68B1" w:rsidP="004C2B08">
            <w:pPr>
              <w:tabs>
                <w:tab w:val="left" w:pos="960"/>
              </w:tabs>
              <w:rPr>
                <w:lang w:val="es-MX"/>
              </w:rPr>
            </w:pPr>
            <w:hyperlink r:id="rId8" w:history="1">
              <w:r w:rsidRPr="00B65A58">
                <w:rPr>
                  <w:rStyle w:val="Hyperlink"/>
                </w:rPr>
                <w:t>U.S. FDA Decision Tree for Determining Whether any Particular Antimicrobial Intervention for Food is Regulated by the Environmental Protection Agency or the Food and Drug Administration</w:t>
              </w:r>
            </w:hyperlink>
            <w:r w:rsidRPr="00B65A58">
              <w:t>.</w:t>
            </w:r>
          </w:p>
        </w:tc>
      </w:tr>
      <w:tr w:rsidR="005F68B1" w14:paraId="7604A743" w14:textId="77777777" w:rsidTr="00622FBF">
        <w:trPr>
          <w:trHeight w:val="250"/>
        </w:trPr>
        <w:tc>
          <w:tcPr>
            <w:tcW w:w="1527" w:type="dxa"/>
          </w:tcPr>
          <w:p w14:paraId="71AEA912" w14:textId="6C7C1A7E" w:rsidR="005F68B1" w:rsidRDefault="005F68B1" w:rsidP="0033740F">
            <w:pPr>
              <w:jc w:val="center"/>
            </w:pPr>
            <w:r>
              <w:t>5.2</w:t>
            </w:r>
          </w:p>
        </w:tc>
        <w:tc>
          <w:tcPr>
            <w:tcW w:w="1239" w:type="dxa"/>
          </w:tcPr>
          <w:p w14:paraId="174B1212" w14:textId="5F90E073" w:rsidR="005F68B1" w:rsidRDefault="005F68B1" w:rsidP="0033740F">
            <w:pPr>
              <w:jc w:val="center"/>
            </w:pPr>
            <w:r>
              <w:t>61</w:t>
            </w:r>
          </w:p>
        </w:tc>
        <w:tc>
          <w:tcPr>
            <w:tcW w:w="3715" w:type="dxa"/>
          </w:tcPr>
          <w:p w14:paraId="7E750CE7" w14:textId="0EC80C9A" w:rsidR="005F68B1" w:rsidRPr="004C2B08" w:rsidRDefault="005F68B1" w:rsidP="004C2B08">
            <w:pPr>
              <w:rPr>
                <w:lang w:val="es-MX"/>
              </w:rPr>
            </w:pPr>
            <w:r w:rsidRPr="007652FF">
              <w:rPr>
                <w:lang w:val="es-MX"/>
              </w:rPr>
              <w:t>Cambiar a: "</w:t>
            </w:r>
            <w:r>
              <w:rPr>
                <w:lang w:val="es-ES"/>
              </w:rPr>
              <w:t xml:space="preserve">Para cualquier </w:t>
            </w:r>
            <w:r w:rsidRPr="007652FF">
              <w:rPr>
                <w:lang w:val="es-ES"/>
              </w:rPr>
              <w:t>tratamiento que use un desinfectante, los productores deberían cumplir con</w:t>
            </w:r>
            <w:r>
              <w:rPr>
                <w:lang w:val="es-ES"/>
              </w:rPr>
              <w:t xml:space="preserve"> todas las leyes y regulaciones </w:t>
            </w:r>
            <w:r w:rsidRPr="007652FF">
              <w:rPr>
                <w:lang w:val="es-ES"/>
              </w:rPr>
              <w:lastRenderedPageBreak/>
              <w:t xml:space="preserve">relevantes, incluido el seguimiento de tratamientos que sean aplicables y </w:t>
            </w:r>
            <w:r>
              <w:rPr>
                <w:lang w:val="es-ES"/>
              </w:rPr>
              <w:t xml:space="preserve">de acuerdo con la etiqueta. Los </w:t>
            </w:r>
            <w:r w:rsidRPr="007652FF">
              <w:rPr>
                <w:lang w:val="es-ES"/>
              </w:rPr>
              <w:t>productores cubiertos por la Norma de inocuidad de los productos agrícolas frescos de FSMA tienen que monitorear los tratami</w:t>
            </w:r>
            <w:r>
              <w:rPr>
                <w:lang w:val="es-ES"/>
              </w:rPr>
              <w:t xml:space="preserve">entos con la frecuencia que sea necesaria. El </w:t>
            </w:r>
            <w:r w:rsidRPr="007652FF">
              <w:rPr>
                <w:lang w:val="es-ES"/>
              </w:rPr>
              <w:t>monitoreo del nivel de pH es crítico para un uso ef</w:t>
            </w:r>
            <w:r>
              <w:rPr>
                <w:lang w:val="es-ES"/>
              </w:rPr>
              <w:t xml:space="preserve">ectivo, </w:t>
            </w:r>
            <w:r w:rsidRPr="007652FF">
              <w:rPr>
                <w:lang w:val="es-ES"/>
              </w:rPr>
              <w:t>especialmente para algunos desinfectantes a base de cloro.</w:t>
            </w:r>
            <w:r w:rsidRPr="007652FF">
              <w:rPr>
                <w:lang w:val="es-MX"/>
              </w:rPr>
              <w:t>"</w:t>
            </w:r>
          </w:p>
        </w:tc>
        <w:tc>
          <w:tcPr>
            <w:tcW w:w="4320" w:type="dxa"/>
          </w:tcPr>
          <w:p w14:paraId="07ECA864" w14:textId="77777777" w:rsidR="005F68B1" w:rsidRPr="007652FF" w:rsidRDefault="005F68B1" w:rsidP="007652FF">
            <w:pPr>
              <w:rPr>
                <w:lang w:val="es-MX"/>
              </w:rPr>
            </w:pPr>
            <w:r>
              <w:rPr>
                <w:lang w:val="es-MX"/>
              </w:rPr>
              <w:lastRenderedPageBreak/>
              <w:t>Modificación</w:t>
            </w:r>
            <w:r w:rsidRPr="007652FF">
              <w:rPr>
                <w:lang w:val="es-ES"/>
              </w:rPr>
              <w:t xml:space="preserve"> realizada para centrarse en el uso de desinfectantes, no en otros métodos de tratamiento (</w:t>
            </w:r>
            <w:r>
              <w:rPr>
                <w:lang w:val="es-ES"/>
              </w:rPr>
              <w:t>p. ej.</w:t>
            </w:r>
            <w:r w:rsidRPr="007652FF">
              <w:rPr>
                <w:lang w:val="es-ES"/>
              </w:rPr>
              <w:t>, filtración).</w:t>
            </w:r>
          </w:p>
          <w:p w14:paraId="6358144F" w14:textId="2B982C6A" w:rsidR="005F68B1" w:rsidRDefault="005F68B1" w:rsidP="00B65A58">
            <w:pPr>
              <w:pStyle w:val="ListParagraph"/>
              <w:numPr>
                <w:ilvl w:val="0"/>
                <w:numId w:val="4"/>
              </w:numPr>
            </w:pPr>
          </w:p>
        </w:tc>
      </w:tr>
      <w:tr w:rsidR="005F68B1" w:rsidRPr="007652FF" w14:paraId="7C8ABABD" w14:textId="77777777" w:rsidTr="00622FBF">
        <w:trPr>
          <w:trHeight w:val="250"/>
        </w:trPr>
        <w:tc>
          <w:tcPr>
            <w:tcW w:w="1527" w:type="dxa"/>
          </w:tcPr>
          <w:p w14:paraId="07ED14BA" w14:textId="599BE50A" w:rsidR="005F68B1" w:rsidRDefault="005F68B1" w:rsidP="0033740F">
            <w:pPr>
              <w:jc w:val="center"/>
            </w:pPr>
            <w:r>
              <w:t>5.2</w:t>
            </w:r>
          </w:p>
        </w:tc>
        <w:tc>
          <w:tcPr>
            <w:tcW w:w="1239" w:type="dxa"/>
          </w:tcPr>
          <w:p w14:paraId="5A3C3AB2" w14:textId="628F6CC3" w:rsidR="005F68B1" w:rsidRDefault="005F68B1" w:rsidP="0033740F">
            <w:pPr>
              <w:jc w:val="center"/>
            </w:pPr>
            <w:r>
              <w:t>62</w:t>
            </w:r>
          </w:p>
        </w:tc>
        <w:tc>
          <w:tcPr>
            <w:tcW w:w="3715" w:type="dxa"/>
          </w:tcPr>
          <w:p w14:paraId="0B7C2F62" w14:textId="11B2780A" w:rsidR="005F68B1" w:rsidRPr="007652FF" w:rsidRDefault="005F68B1" w:rsidP="00587610">
            <w:pPr>
              <w:rPr>
                <w:lang w:val="es-MX"/>
              </w:rPr>
            </w:pPr>
            <w:r w:rsidRPr="007652FF">
              <w:rPr>
                <w:lang w:val="es-MX"/>
              </w:rPr>
              <w:t>Cambiar a: "</w:t>
            </w:r>
            <w:r w:rsidRPr="007652FF">
              <w:rPr>
                <w:lang w:val="es-ES"/>
              </w:rPr>
              <w:t>La medición del ORP puede ayudar a los productores a mantener la cantidad de algunos productos antimicrobianos dentro de un rango efectivo</w:t>
            </w:r>
            <w:r w:rsidRPr="00EF3F8B">
              <w:rPr>
                <w:lang w:val="es-MX"/>
              </w:rPr>
              <w:t>"</w:t>
            </w:r>
          </w:p>
        </w:tc>
        <w:tc>
          <w:tcPr>
            <w:tcW w:w="4320" w:type="dxa"/>
          </w:tcPr>
          <w:p w14:paraId="06B3E317" w14:textId="77777777" w:rsidR="005F68B1" w:rsidRPr="00EF3F8B" w:rsidRDefault="005F68B1" w:rsidP="00EF3F8B">
            <w:pPr>
              <w:rPr>
                <w:lang w:val="es-MX"/>
              </w:rPr>
            </w:pPr>
            <w:r w:rsidRPr="00EF3F8B">
              <w:rPr>
                <w:lang w:val="es-ES"/>
              </w:rPr>
              <w:t xml:space="preserve">Modificación realizada para aclarar </w:t>
            </w:r>
            <w:r>
              <w:rPr>
                <w:lang w:val="es-ES"/>
              </w:rPr>
              <w:t>el enunciado.</w:t>
            </w:r>
          </w:p>
          <w:p w14:paraId="6F2C21DF" w14:textId="481EE548" w:rsidR="005F68B1" w:rsidRPr="007652FF" w:rsidRDefault="005F68B1" w:rsidP="00A342D3">
            <w:pPr>
              <w:rPr>
                <w:lang w:val="es-MX"/>
              </w:rPr>
            </w:pPr>
          </w:p>
        </w:tc>
      </w:tr>
      <w:tr w:rsidR="005F68B1" w:rsidRPr="00EF3F8B" w14:paraId="09A81E41" w14:textId="77777777" w:rsidTr="00622FBF">
        <w:trPr>
          <w:trHeight w:val="250"/>
        </w:trPr>
        <w:tc>
          <w:tcPr>
            <w:tcW w:w="1527" w:type="dxa"/>
          </w:tcPr>
          <w:p w14:paraId="22A87A10" w14:textId="43DB0EDF" w:rsidR="005F68B1" w:rsidRDefault="005F68B1" w:rsidP="0033740F">
            <w:pPr>
              <w:jc w:val="center"/>
            </w:pPr>
            <w:r>
              <w:t>7</w:t>
            </w:r>
          </w:p>
        </w:tc>
        <w:tc>
          <w:tcPr>
            <w:tcW w:w="1239" w:type="dxa"/>
          </w:tcPr>
          <w:p w14:paraId="04C1D538" w14:textId="4A629AA3" w:rsidR="005F68B1" w:rsidRDefault="005F68B1" w:rsidP="0033740F">
            <w:pPr>
              <w:jc w:val="center"/>
            </w:pPr>
            <w:r>
              <w:t>27</w:t>
            </w:r>
          </w:p>
        </w:tc>
        <w:tc>
          <w:tcPr>
            <w:tcW w:w="3715" w:type="dxa"/>
          </w:tcPr>
          <w:p w14:paraId="2D71C6E5" w14:textId="17E4CF69" w:rsidR="005F68B1" w:rsidRPr="00EF3F8B" w:rsidRDefault="005F68B1" w:rsidP="00587610">
            <w:pPr>
              <w:rPr>
                <w:lang w:val="es-MX"/>
              </w:rPr>
            </w:pPr>
            <w:r w:rsidRPr="00EF3F8B">
              <w:rPr>
                <w:lang w:val="es-MX"/>
              </w:rPr>
              <w:t>Cambiar a: "</w:t>
            </w:r>
            <w:r w:rsidRPr="00EF3F8B">
              <w:rPr>
                <w:lang w:val="es-ES_tradnl"/>
              </w:rPr>
              <w:t>El due</w:t>
            </w:r>
            <w:r w:rsidRPr="00EF3F8B">
              <w:rPr>
                <w:lang w:val="es-MX"/>
              </w:rPr>
              <w:t>ño, operador o persona a cargo de la huerta elegible</w:t>
            </w:r>
            <w:r w:rsidRPr="00EF3F8B">
              <w:rPr>
                <w:lang w:val="es-ES_tradnl"/>
              </w:rPr>
              <w:t xml:space="preserve"> para obtener la exención calificada de la § 112.5 tendría que cumplir con los requi</w:t>
            </w:r>
            <w:r>
              <w:rPr>
                <w:lang w:val="es-ES_tradnl"/>
              </w:rPr>
              <w:t>sitos modificados de etiquetado</w:t>
            </w:r>
            <w:r w:rsidRPr="00EF3F8B">
              <w:rPr>
                <w:lang w:val="es-MX"/>
              </w:rPr>
              <w:t>."</w:t>
            </w:r>
          </w:p>
        </w:tc>
        <w:tc>
          <w:tcPr>
            <w:tcW w:w="4320" w:type="dxa"/>
          </w:tcPr>
          <w:p w14:paraId="607B493B" w14:textId="3FF5A219" w:rsidR="005F68B1" w:rsidRPr="00EF3F8B" w:rsidRDefault="005F68B1" w:rsidP="00B65A58">
            <w:pPr>
              <w:rPr>
                <w:lang w:val="es-MX"/>
              </w:rPr>
            </w:pPr>
            <w:r w:rsidRPr="00EF3F8B">
              <w:rPr>
                <w:lang w:val="es-MX"/>
              </w:rPr>
              <w:t>Reemplazar “</w:t>
            </w:r>
            <w:r>
              <w:rPr>
                <w:lang w:val="es-MX"/>
              </w:rPr>
              <w:t>L</w:t>
            </w:r>
            <w:r w:rsidRPr="00EF3F8B">
              <w:rPr>
                <w:lang w:val="es-MX"/>
              </w:rPr>
              <w:t>os productores” por “</w:t>
            </w:r>
            <w:r w:rsidRPr="00EF3F8B">
              <w:rPr>
                <w:lang w:val="es-ES_tradnl"/>
              </w:rPr>
              <w:t>El due</w:t>
            </w:r>
            <w:r w:rsidRPr="00EF3F8B">
              <w:rPr>
                <w:lang w:val="es-MX"/>
              </w:rPr>
              <w:t xml:space="preserve">ño, operador o persona…” </w:t>
            </w:r>
          </w:p>
        </w:tc>
      </w:tr>
    </w:tbl>
    <w:p w14:paraId="6A05A809" w14:textId="77777777" w:rsidR="00677E82" w:rsidRPr="00EF3F8B" w:rsidRDefault="0033740F" w:rsidP="0033740F">
      <w:pPr>
        <w:tabs>
          <w:tab w:val="left" w:pos="8376"/>
        </w:tabs>
        <w:rPr>
          <w:lang w:val="es-MX"/>
        </w:rPr>
      </w:pPr>
      <w:r w:rsidRPr="00EF3F8B">
        <w:rPr>
          <w:lang w:val="es-MX"/>
        </w:rPr>
        <w:tab/>
      </w:r>
    </w:p>
    <w:p w14:paraId="5A39BBE3" w14:textId="77777777" w:rsidR="00677E82" w:rsidRPr="00EF3F8B" w:rsidRDefault="00677E82" w:rsidP="009A3706">
      <w:pPr>
        <w:rPr>
          <w:lang w:val="es-MX"/>
        </w:rPr>
      </w:pPr>
      <w:bookmarkStart w:id="0" w:name="_GoBack"/>
      <w:bookmarkEnd w:id="0"/>
    </w:p>
    <w:sectPr w:rsidR="00677E82" w:rsidRPr="00EF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4F3B"/>
    <w:multiLevelType w:val="hybridMultilevel"/>
    <w:tmpl w:val="A5843910"/>
    <w:lvl w:ilvl="0" w:tplc="66F4FC20">
      <w:start w:val="1"/>
      <w:numFmt w:val="bullet"/>
      <w:lvlText w:val="•"/>
      <w:lvlJc w:val="left"/>
      <w:pPr>
        <w:tabs>
          <w:tab w:val="num" w:pos="720"/>
        </w:tabs>
        <w:ind w:left="720" w:hanging="360"/>
      </w:pPr>
      <w:rPr>
        <w:rFonts w:ascii="Arial" w:hAnsi="Arial" w:hint="default"/>
      </w:rPr>
    </w:lvl>
    <w:lvl w:ilvl="1" w:tplc="DFBCDA6E" w:tentative="1">
      <w:start w:val="1"/>
      <w:numFmt w:val="bullet"/>
      <w:lvlText w:val="•"/>
      <w:lvlJc w:val="left"/>
      <w:pPr>
        <w:tabs>
          <w:tab w:val="num" w:pos="1440"/>
        </w:tabs>
        <w:ind w:left="1440" w:hanging="360"/>
      </w:pPr>
      <w:rPr>
        <w:rFonts w:ascii="Arial" w:hAnsi="Arial" w:hint="default"/>
      </w:rPr>
    </w:lvl>
    <w:lvl w:ilvl="2" w:tplc="4A505A72" w:tentative="1">
      <w:start w:val="1"/>
      <w:numFmt w:val="bullet"/>
      <w:lvlText w:val="•"/>
      <w:lvlJc w:val="left"/>
      <w:pPr>
        <w:tabs>
          <w:tab w:val="num" w:pos="2160"/>
        </w:tabs>
        <w:ind w:left="2160" w:hanging="360"/>
      </w:pPr>
      <w:rPr>
        <w:rFonts w:ascii="Arial" w:hAnsi="Arial" w:hint="default"/>
      </w:rPr>
    </w:lvl>
    <w:lvl w:ilvl="3" w:tplc="355C522E" w:tentative="1">
      <w:start w:val="1"/>
      <w:numFmt w:val="bullet"/>
      <w:lvlText w:val="•"/>
      <w:lvlJc w:val="left"/>
      <w:pPr>
        <w:tabs>
          <w:tab w:val="num" w:pos="2880"/>
        </w:tabs>
        <w:ind w:left="2880" w:hanging="360"/>
      </w:pPr>
      <w:rPr>
        <w:rFonts w:ascii="Arial" w:hAnsi="Arial" w:hint="default"/>
      </w:rPr>
    </w:lvl>
    <w:lvl w:ilvl="4" w:tplc="058078F6" w:tentative="1">
      <w:start w:val="1"/>
      <w:numFmt w:val="bullet"/>
      <w:lvlText w:val="•"/>
      <w:lvlJc w:val="left"/>
      <w:pPr>
        <w:tabs>
          <w:tab w:val="num" w:pos="3600"/>
        </w:tabs>
        <w:ind w:left="3600" w:hanging="360"/>
      </w:pPr>
      <w:rPr>
        <w:rFonts w:ascii="Arial" w:hAnsi="Arial" w:hint="default"/>
      </w:rPr>
    </w:lvl>
    <w:lvl w:ilvl="5" w:tplc="F1222940" w:tentative="1">
      <w:start w:val="1"/>
      <w:numFmt w:val="bullet"/>
      <w:lvlText w:val="•"/>
      <w:lvlJc w:val="left"/>
      <w:pPr>
        <w:tabs>
          <w:tab w:val="num" w:pos="4320"/>
        </w:tabs>
        <w:ind w:left="4320" w:hanging="360"/>
      </w:pPr>
      <w:rPr>
        <w:rFonts w:ascii="Arial" w:hAnsi="Arial" w:hint="default"/>
      </w:rPr>
    </w:lvl>
    <w:lvl w:ilvl="6" w:tplc="CF4C3638" w:tentative="1">
      <w:start w:val="1"/>
      <w:numFmt w:val="bullet"/>
      <w:lvlText w:val="•"/>
      <w:lvlJc w:val="left"/>
      <w:pPr>
        <w:tabs>
          <w:tab w:val="num" w:pos="5040"/>
        </w:tabs>
        <w:ind w:left="5040" w:hanging="360"/>
      </w:pPr>
      <w:rPr>
        <w:rFonts w:ascii="Arial" w:hAnsi="Arial" w:hint="default"/>
      </w:rPr>
    </w:lvl>
    <w:lvl w:ilvl="7" w:tplc="592EB784" w:tentative="1">
      <w:start w:val="1"/>
      <w:numFmt w:val="bullet"/>
      <w:lvlText w:val="•"/>
      <w:lvlJc w:val="left"/>
      <w:pPr>
        <w:tabs>
          <w:tab w:val="num" w:pos="5760"/>
        </w:tabs>
        <w:ind w:left="5760" w:hanging="360"/>
      </w:pPr>
      <w:rPr>
        <w:rFonts w:ascii="Arial" w:hAnsi="Arial" w:hint="default"/>
      </w:rPr>
    </w:lvl>
    <w:lvl w:ilvl="8" w:tplc="B8AE8A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82130"/>
    <w:multiLevelType w:val="hybridMultilevel"/>
    <w:tmpl w:val="B73898A6"/>
    <w:lvl w:ilvl="0" w:tplc="7FD0DBD0">
      <w:start w:val="1"/>
      <w:numFmt w:val="bullet"/>
      <w:lvlText w:val="•"/>
      <w:lvlJc w:val="left"/>
      <w:pPr>
        <w:tabs>
          <w:tab w:val="num" w:pos="720"/>
        </w:tabs>
        <w:ind w:left="720" w:hanging="360"/>
      </w:pPr>
      <w:rPr>
        <w:rFonts w:ascii="Arial" w:hAnsi="Arial" w:hint="default"/>
      </w:rPr>
    </w:lvl>
    <w:lvl w:ilvl="1" w:tplc="43BE5414" w:tentative="1">
      <w:start w:val="1"/>
      <w:numFmt w:val="bullet"/>
      <w:lvlText w:val="•"/>
      <w:lvlJc w:val="left"/>
      <w:pPr>
        <w:tabs>
          <w:tab w:val="num" w:pos="1440"/>
        </w:tabs>
        <w:ind w:left="1440" w:hanging="360"/>
      </w:pPr>
      <w:rPr>
        <w:rFonts w:ascii="Arial" w:hAnsi="Arial" w:hint="default"/>
      </w:rPr>
    </w:lvl>
    <w:lvl w:ilvl="2" w:tplc="0616CF36" w:tentative="1">
      <w:start w:val="1"/>
      <w:numFmt w:val="bullet"/>
      <w:lvlText w:val="•"/>
      <w:lvlJc w:val="left"/>
      <w:pPr>
        <w:tabs>
          <w:tab w:val="num" w:pos="2160"/>
        </w:tabs>
        <w:ind w:left="2160" w:hanging="360"/>
      </w:pPr>
      <w:rPr>
        <w:rFonts w:ascii="Arial" w:hAnsi="Arial" w:hint="default"/>
      </w:rPr>
    </w:lvl>
    <w:lvl w:ilvl="3" w:tplc="08085EC8" w:tentative="1">
      <w:start w:val="1"/>
      <w:numFmt w:val="bullet"/>
      <w:lvlText w:val="•"/>
      <w:lvlJc w:val="left"/>
      <w:pPr>
        <w:tabs>
          <w:tab w:val="num" w:pos="2880"/>
        </w:tabs>
        <w:ind w:left="2880" w:hanging="360"/>
      </w:pPr>
      <w:rPr>
        <w:rFonts w:ascii="Arial" w:hAnsi="Arial" w:hint="default"/>
      </w:rPr>
    </w:lvl>
    <w:lvl w:ilvl="4" w:tplc="A3B0429A" w:tentative="1">
      <w:start w:val="1"/>
      <w:numFmt w:val="bullet"/>
      <w:lvlText w:val="•"/>
      <w:lvlJc w:val="left"/>
      <w:pPr>
        <w:tabs>
          <w:tab w:val="num" w:pos="3600"/>
        </w:tabs>
        <w:ind w:left="3600" w:hanging="360"/>
      </w:pPr>
      <w:rPr>
        <w:rFonts w:ascii="Arial" w:hAnsi="Arial" w:hint="default"/>
      </w:rPr>
    </w:lvl>
    <w:lvl w:ilvl="5" w:tplc="8FCC2EC4" w:tentative="1">
      <w:start w:val="1"/>
      <w:numFmt w:val="bullet"/>
      <w:lvlText w:val="•"/>
      <w:lvlJc w:val="left"/>
      <w:pPr>
        <w:tabs>
          <w:tab w:val="num" w:pos="4320"/>
        </w:tabs>
        <w:ind w:left="4320" w:hanging="360"/>
      </w:pPr>
      <w:rPr>
        <w:rFonts w:ascii="Arial" w:hAnsi="Arial" w:hint="default"/>
      </w:rPr>
    </w:lvl>
    <w:lvl w:ilvl="6" w:tplc="5F76BB68" w:tentative="1">
      <w:start w:val="1"/>
      <w:numFmt w:val="bullet"/>
      <w:lvlText w:val="•"/>
      <w:lvlJc w:val="left"/>
      <w:pPr>
        <w:tabs>
          <w:tab w:val="num" w:pos="5040"/>
        </w:tabs>
        <w:ind w:left="5040" w:hanging="360"/>
      </w:pPr>
      <w:rPr>
        <w:rFonts w:ascii="Arial" w:hAnsi="Arial" w:hint="default"/>
      </w:rPr>
    </w:lvl>
    <w:lvl w:ilvl="7" w:tplc="014E586E" w:tentative="1">
      <w:start w:val="1"/>
      <w:numFmt w:val="bullet"/>
      <w:lvlText w:val="•"/>
      <w:lvlJc w:val="left"/>
      <w:pPr>
        <w:tabs>
          <w:tab w:val="num" w:pos="5760"/>
        </w:tabs>
        <w:ind w:left="5760" w:hanging="360"/>
      </w:pPr>
      <w:rPr>
        <w:rFonts w:ascii="Arial" w:hAnsi="Arial" w:hint="default"/>
      </w:rPr>
    </w:lvl>
    <w:lvl w:ilvl="8" w:tplc="F836EA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77356"/>
    <w:multiLevelType w:val="hybridMultilevel"/>
    <w:tmpl w:val="F62C7CAA"/>
    <w:lvl w:ilvl="0" w:tplc="E1BA39E6">
      <w:start w:val="1"/>
      <w:numFmt w:val="bullet"/>
      <w:lvlText w:val="–"/>
      <w:lvlJc w:val="left"/>
      <w:pPr>
        <w:tabs>
          <w:tab w:val="num" w:pos="720"/>
        </w:tabs>
        <w:ind w:left="720" w:hanging="360"/>
      </w:pPr>
      <w:rPr>
        <w:rFonts w:ascii="Arial" w:hAnsi="Arial" w:hint="default"/>
      </w:rPr>
    </w:lvl>
    <w:lvl w:ilvl="1" w:tplc="80AE1506">
      <w:start w:val="1"/>
      <w:numFmt w:val="bullet"/>
      <w:lvlText w:val="–"/>
      <w:lvlJc w:val="left"/>
      <w:pPr>
        <w:tabs>
          <w:tab w:val="num" w:pos="1440"/>
        </w:tabs>
        <w:ind w:left="1440" w:hanging="360"/>
      </w:pPr>
      <w:rPr>
        <w:rFonts w:ascii="Arial" w:hAnsi="Arial" w:hint="default"/>
      </w:rPr>
    </w:lvl>
    <w:lvl w:ilvl="2" w:tplc="DCB487AE" w:tentative="1">
      <w:start w:val="1"/>
      <w:numFmt w:val="bullet"/>
      <w:lvlText w:val="–"/>
      <w:lvlJc w:val="left"/>
      <w:pPr>
        <w:tabs>
          <w:tab w:val="num" w:pos="2160"/>
        </w:tabs>
        <w:ind w:left="2160" w:hanging="360"/>
      </w:pPr>
      <w:rPr>
        <w:rFonts w:ascii="Arial" w:hAnsi="Arial" w:hint="default"/>
      </w:rPr>
    </w:lvl>
    <w:lvl w:ilvl="3" w:tplc="C58890AA" w:tentative="1">
      <w:start w:val="1"/>
      <w:numFmt w:val="bullet"/>
      <w:lvlText w:val="–"/>
      <w:lvlJc w:val="left"/>
      <w:pPr>
        <w:tabs>
          <w:tab w:val="num" w:pos="2880"/>
        </w:tabs>
        <w:ind w:left="2880" w:hanging="360"/>
      </w:pPr>
      <w:rPr>
        <w:rFonts w:ascii="Arial" w:hAnsi="Arial" w:hint="default"/>
      </w:rPr>
    </w:lvl>
    <w:lvl w:ilvl="4" w:tplc="57BEAD2E" w:tentative="1">
      <w:start w:val="1"/>
      <w:numFmt w:val="bullet"/>
      <w:lvlText w:val="–"/>
      <w:lvlJc w:val="left"/>
      <w:pPr>
        <w:tabs>
          <w:tab w:val="num" w:pos="3600"/>
        </w:tabs>
        <w:ind w:left="3600" w:hanging="360"/>
      </w:pPr>
      <w:rPr>
        <w:rFonts w:ascii="Arial" w:hAnsi="Arial" w:hint="default"/>
      </w:rPr>
    </w:lvl>
    <w:lvl w:ilvl="5" w:tplc="603AF95E" w:tentative="1">
      <w:start w:val="1"/>
      <w:numFmt w:val="bullet"/>
      <w:lvlText w:val="–"/>
      <w:lvlJc w:val="left"/>
      <w:pPr>
        <w:tabs>
          <w:tab w:val="num" w:pos="4320"/>
        </w:tabs>
        <w:ind w:left="4320" w:hanging="360"/>
      </w:pPr>
      <w:rPr>
        <w:rFonts w:ascii="Arial" w:hAnsi="Arial" w:hint="default"/>
      </w:rPr>
    </w:lvl>
    <w:lvl w:ilvl="6" w:tplc="288E4A46" w:tentative="1">
      <w:start w:val="1"/>
      <w:numFmt w:val="bullet"/>
      <w:lvlText w:val="–"/>
      <w:lvlJc w:val="left"/>
      <w:pPr>
        <w:tabs>
          <w:tab w:val="num" w:pos="5040"/>
        </w:tabs>
        <w:ind w:left="5040" w:hanging="360"/>
      </w:pPr>
      <w:rPr>
        <w:rFonts w:ascii="Arial" w:hAnsi="Arial" w:hint="default"/>
      </w:rPr>
    </w:lvl>
    <w:lvl w:ilvl="7" w:tplc="BAACDC66" w:tentative="1">
      <w:start w:val="1"/>
      <w:numFmt w:val="bullet"/>
      <w:lvlText w:val="–"/>
      <w:lvlJc w:val="left"/>
      <w:pPr>
        <w:tabs>
          <w:tab w:val="num" w:pos="5760"/>
        </w:tabs>
        <w:ind w:left="5760" w:hanging="360"/>
      </w:pPr>
      <w:rPr>
        <w:rFonts w:ascii="Arial" w:hAnsi="Arial" w:hint="default"/>
      </w:rPr>
    </w:lvl>
    <w:lvl w:ilvl="8" w:tplc="F98272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E63C21"/>
    <w:multiLevelType w:val="hybridMultilevel"/>
    <w:tmpl w:val="0248BE6A"/>
    <w:lvl w:ilvl="0" w:tplc="7AC66896">
      <w:start w:val="1"/>
      <w:numFmt w:val="bullet"/>
      <w:lvlText w:val="•"/>
      <w:lvlJc w:val="left"/>
      <w:pPr>
        <w:tabs>
          <w:tab w:val="num" w:pos="720"/>
        </w:tabs>
        <w:ind w:left="720" w:hanging="360"/>
      </w:pPr>
      <w:rPr>
        <w:rFonts w:ascii="Arial" w:hAnsi="Arial" w:hint="default"/>
      </w:rPr>
    </w:lvl>
    <w:lvl w:ilvl="1" w:tplc="97F05F88">
      <w:start w:val="30"/>
      <w:numFmt w:val="bullet"/>
      <w:lvlText w:val="•"/>
      <w:lvlJc w:val="left"/>
      <w:pPr>
        <w:tabs>
          <w:tab w:val="num" w:pos="1440"/>
        </w:tabs>
        <w:ind w:left="1440" w:hanging="360"/>
      </w:pPr>
      <w:rPr>
        <w:rFonts w:ascii="Arial" w:hAnsi="Arial" w:hint="default"/>
      </w:rPr>
    </w:lvl>
    <w:lvl w:ilvl="2" w:tplc="4728594A" w:tentative="1">
      <w:start w:val="1"/>
      <w:numFmt w:val="bullet"/>
      <w:lvlText w:val="•"/>
      <w:lvlJc w:val="left"/>
      <w:pPr>
        <w:tabs>
          <w:tab w:val="num" w:pos="2160"/>
        </w:tabs>
        <w:ind w:left="2160" w:hanging="360"/>
      </w:pPr>
      <w:rPr>
        <w:rFonts w:ascii="Arial" w:hAnsi="Arial" w:hint="default"/>
      </w:rPr>
    </w:lvl>
    <w:lvl w:ilvl="3" w:tplc="E79E1D12" w:tentative="1">
      <w:start w:val="1"/>
      <w:numFmt w:val="bullet"/>
      <w:lvlText w:val="•"/>
      <w:lvlJc w:val="left"/>
      <w:pPr>
        <w:tabs>
          <w:tab w:val="num" w:pos="2880"/>
        </w:tabs>
        <w:ind w:left="2880" w:hanging="360"/>
      </w:pPr>
      <w:rPr>
        <w:rFonts w:ascii="Arial" w:hAnsi="Arial" w:hint="default"/>
      </w:rPr>
    </w:lvl>
    <w:lvl w:ilvl="4" w:tplc="7EFE6A92" w:tentative="1">
      <w:start w:val="1"/>
      <w:numFmt w:val="bullet"/>
      <w:lvlText w:val="•"/>
      <w:lvlJc w:val="left"/>
      <w:pPr>
        <w:tabs>
          <w:tab w:val="num" w:pos="3600"/>
        </w:tabs>
        <w:ind w:left="3600" w:hanging="360"/>
      </w:pPr>
      <w:rPr>
        <w:rFonts w:ascii="Arial" w:hAnsi="Arial" w:hint="default"/>
      </w:rPr>
    </w:lvl>
    <w:lvl w:ilvl="5" w:tplc="C0DE75B6" w:tentative="1">
      <w:start w:val="1"/>
      <w:numFmt w:val="bullet"/>
      <w:lvlText w:val="•"/>
      <w:lvlJc w:val="left"/>
      <w:pPr>
        <w:tabs>
          <w:tab w:val="num" w:pos="4320"/>
        </w:tabs>
        <w:ind w:left="4320" w:hanging="360"/>
      </w:pPr>
      <w:rPr>
        <w:rFonts w:ascii="Arial" w:hAnsi="Arial" w:hint="default"/>
      </w:rPr>
    </w:lvl>
    <w:lvl w:ilvl="6" w:tplc="51A0D6F2" w:tentative="1">
      <w:start w:val="1"/>
      <w:numFmt w:val="bullet"/>
      <w:lvlText w:val="•"/>
      <w:lvlJc w:val="left"/>
      <w:pPr>
        <w:tabs>
          <w:tab w:val="num" w:pos="5040"/>
        </w:tabs>
        <w:ind w:left="5040" w:hanging="360"/>
      </w:pPr>
      <w:rPr>
        <w:rFonts w:ascii="Arial" w:hAnsi="Arial" w:hint="default"/>
      </w:rPr>
    </w:lvl>
    <w:lvl w:ilvl="7" w:tplc="7DE6777E" w:tentative="1">
      <w:start w:val="1"/>
      <w:numFmt w:val="bullet"/>
      <w:lvlText w:val="•"/>
      <w:lvlJc w:val="left"/>
      <w:pPr>
        <w:tabs>
          <w:tab w:val="num" w:pos="5760"/>
        </w:tabs>
        <w:ind w:left="5760" w:hanging="360"/>
      </w:pPr>
      <w:rPr>
        <w:rFonts w:ascii="Arial" w:hAnsi="Arial" w:hint="default"/>
      </w:rPr>
    </w:lvl>
    <w:lvl w:ilvl="8" w:tplc="BEC87F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27975"/>
    <w:multiLevelType w:val="hybridMultilevel"/>
    <w:tmpl w:val="A8DA3F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F64003C"/>
    <w:multiLevelType w:val="hybridMultilevel"/>
    <w:tmpl w:val="6DCCB8AC"/>
    <w:lvl w:ilvl="0" w:tplc="561CCBB0">
      <w:start w:val="1"/>
      <w:numFmt w:val="bullet"/>
      <w:lvlText w:val="•"/>
      <w:lvlJc w:val="left"/>
      <w:pPr>
        <w:tabs>
          <w:tab w:val="num" w:pos="720"/>
        </w:tabs>
        <w:ind w:left="720" w:hanging="360"/>
      </w:pPr>
      <w:rPr>
        <w:rFonts w:ascii="Arial" w:hAnsi="Arial" w:hint="default"/>
      </w:rPr>
    </w:lvl>
    <w:lvl w:ilvl="1" w:tplc="BE1E2ACE" w:tentative="1">
      <w:start w:val="1"/>
      <w:numFmt w:val="bullet"/>
      <w:lvlText w:val="•"/>
      <w:lvlJc w:val="left"/>
      <w:pPr>
        <w:tabs>
          <w:tab w:val="num" w:pos="1440"/>
        </w:tabs>
        <w:ind w:left="1440" w:hanging="360"/>
      </w:pPr>
      <w:rPr>
        <w:rFonts w:ascii="Arial" w:hAnsi="Arial" w:hint="default"/>
      </w:rPr>
    </w:lvl>
    <w:lvl w:ilvl="2" w:tplc="AA3AE440" w:tentative="1">
      <w:start w:val="1"/>
      <w:numFmt w:val="bullet"/>
      <w:lvlText w:val="•"/>
      <w:lvlJc w:val="left"/>
      <w:pPr>
        <w:tabs>
          <w:tab w:val="num" w:pos="2160"/>
        </w:tabs>
        <w:ind w:left="2160" w:hanging="360"/>
      </w:pPr>
      <w:rPr>
        <w:rFonts w:ascii="Arial" w:hAnsi="Arial" w:hint="default"/>
      </w:rPr>
    </w:lvl>
    <w:lvl w:ilvl="3" w:tplc="2D2EBFD0" w:tentative="1">
      <w:start w:val="1"/>
      <w:numFmt w:val="bullet"/>
      <w:lvlText w:val="•"/>
      <w:lvlJc w:val="left"/>
      <w:pPr>
        <w:tabs>
          <w:tab w:val="num" w:pos="2880"/>
        </w:tabs>
        <w:ind w:left="2880" w:hanging="360"/>
      </w:pPr>
      <w:rPr>
        <w:rFonts w:ascii="Arial" w:hAnsi="Arial" w:hint="default"/>
      </w:rPr>
    </w:lvl>
    <w:lvl w:ilvl="4" w:tplc="1E027214" w:tentative="1">
      <w:start w:val="1"/>
      <w:numFmt w:val="bullet"/>
      <w:lvlText w:val="•"/>
      <w:lvlJc w:val="left"/>
      <w:pPr>
        <w:tabs>
          <w:tab w:val="num" w:pos="3600"/>
        </w:tabs>
        <w:ind w:left="3600" w:hanging="360"/>
      </w:pPr>
      <w:rPr>
        <w:rFonts w:ascii="Arial" w:hAnsi="Arial" w:hint="default"/>
      </w:rPr>
    </w:lvl>
    <w:lvl w:ilvl="5" w:tplc="C95AF83A" w:tentative="1">
      <w:start w:val="1"/>
      <w:numFmt w:val="bullet"/>
      <w:lvlText w:val="•"/>
      <w:lvlJc w:val="left"/>
      <w:pPr>
        <w:tabs>
          <w:tab w:val="num" w:pos="4320"/>
        </w:tabs>
        <w:ind w:left="4320" w:hanging="360"/>
      </w:pPr>
      <w:rPr>
        <w:rFonts w:ascii="Arial" w:hAnsi="Arial" w:hint="default"/>
      </w:rPr>
    </w:lvl>
    <w:lvl w:ilvl="6" w:tplc="4EEC3944" w:tentative="1">
      <w:start w:val="1"/>
      <w:numFmt w:val="bullet"/>
      <w:lvlText w:val="•"/>
      <w:lvlJc w:val="left"/>
      <w:pPr>
        <w:tabs>
          <w:tab w:val="num" w:pos="5040"/>
        </w:tabs>
        <w:ind w:left="5040" w:hanging="360"/>
      </w:pPr>
      <w:rPr>
        <w:rFonts w:ascii="Arial" w:hAnsi="Arial" w:hint="default"/>
      </w:rPr>
    </w:lvl>
    <w:lvl w:ilvl="7" w:tplc="67DCCF4C" w:tentative="1">
      <w:start w:val="1"/>
      <w:numFmt w:val="bullet"/>
      <w:lvlText w:val="•"/>
      <w:lvlJc w:val="left"/>
      <w:pPr>
        <w:tabs>
          <w:tab w:val="num" w:pos="5760"/>
        </w:tabs>
        <w:ind w:left="5760" w:hanging="360"/>
      </w:pPr>
      <w:rPr>
        <w:rFonts w:ascii="Arial" w:hAnsi="Arial" w:hint="default"/>
      </w:rPr>
    </w:lvl>
    <w:lvl w:ilvl="8" w:tplc="3C2483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89249F"/>
    <w:multiLevelType w:val="hybridMultilevel"/>
    <w:tmpl w:val="DA48A9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66CB7"/>
    <w:multiLevelType w:val="hybridMultilevel"/>
    <w:tmpl w:val="1376FD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52F2"/>
    <w:multiLevelType w:val="hybridMultilevel"/>
    <w:tmpl w:val="B0A8A598"/>
    <w:lvl w:ilvl="0" w:tplc="5CC2EDF2">
      <w:start w:val="1"/>
      <w:numFmt w:val="bullet"/>
      <w:lvlText w:val="•"/>
      <w:lvlJc w:val="left"/>
      <w:pPr>
        <w:tabs>
          <w:tab w:val="num" w:pos="720"/>
        </w:tabs>
        <w:ind w:left="720" w:hanging="360"/>
      </w:pPr>
      <w:rPr>
        <w:rFonts w:ascii="Arial" w:hAnsi="Arial" w:hint="default"/>
      </w:rPr>
    </w:lvl>
    <w:lvl w:ilvl="1" w:tplc="1B60A63E" w:tentative="1">
      <w:start w:val="1"/>
      <w:numFmt w:val="bullet"/>
      <w:lvlText w:val="•"/>
      <w:lvlJc w:val="left"/>
      <w:pPr>
        <w:tabs>
          <w:tab w:val="num" w:pos="1440"/>
        </w:tabs>
        <w:ind w:left="1440" w:hanging="360"/>
      </w:pPr>
      <w:rPr>
        <w:rFonts w:ascii="Arial" w:hAnsi="Arial" w:hint="default"/>
      </w:rPr>
    </w:lvl>
    <w:lvl w:ilvl="2" w:tplc="46ACA28E" w:tentative="1">
      <w:start w:val="1"/>
      <w:numFmt w:val="bullet"/>
      <w:lvlText w:val="•"/>
      <w:lvlJc w:val="left"/>
      <w:pPr>
        <w:tabs>
          <w:tab w:val="num" w:pos="2160"/>
        </w:tabs>
        <w:ind w:left="2160" w:hanging="360"/>
      </w:pPr>
      <w:rPr>
        <w:rFonts w:ascii="Arial" w:hAnsi="Arial" w:hint="default"/>
      </w:rPr>
    </w:lvl>
    <w:lvl w:ilvl="3" w:tplc="BE148A4E" w:tentative="1">
      <w:start w:val="1"/>
      <w:numFmt w:val="bullet"/>
      <w:lvlText w:val="•"/>
      <w:lvlJc w:val="left"/>
      <w:pPr>
        <w:tabs>
          <w:tab w:val="num" w:pos="2880"/>
        </w:tabs>
        <w:ind w:left="2880" w:hanging="360"/>
      </w:pPr>
      <w:rPr>
        <w:rFonts w:ascii="Arial" w:hAnsi="Arial" w:hint="default"/>
      </w:rPr>
    </w:lvl>
    <w:lvl w:ilvl="4" w:tplc="6D8067AC" w:tentative="1">
      <w:start w:val="1"/>
      <w:numFmt w:val="bullet"/>
      <w:lvlText w:val="•"/>
      <w:lvlJc w:val="left"/>
      <w:pPr>
        <w:tabs>
          <w:tab w:val="num" w:pos="3600"/>
        </w:tabs>
        <w:ind w:left="3600" w:hanging="360"/>
      </w:pPr>
      <w:rPr>
        <w:rFonts w:ascii="Arial" w:hAnsi="Arial" w:hint="default"/>
      </w:rPr>
    </w:lvl>
    <w:lvl w:ilvl="5" w:tplc="AACE4AF4" w:tentative="1">
      <w:start w:val="1"/>
      <w:numFmt w:val="bullet"/>
      <w:lvlText w:val="•"/>
      <w:lvlJc w:val="left"/>
      <w:pPr>
        <w:tabs>
          <w:tab w:val="num" w:pos="4320"/>
        </w:tabs>
        <w:ind w:left="4320" w:hanging="360"/>
      </w:pPr>
      <w:rPr>
        <w:rFonts w:ascii="Arial" w:hAnsi="Arial" w:hint="default"/>
      </w:rPr>
    </w:lvl>
    <w:lvl w:ilvl="6" w:tplc="C8863554" w:tentative="1">
      <w:start w:val="1"/>
      <w:numFmt w:val="bullet"/>
      <w:lvlText w:val="•"/>
      <w:lvlJc w:val="left"/>
      <w:pPr>
        <w:tabs>
          <w:tab w:val="num" w:pos="5040"/>
        </w:tabs>
        <w:ind w:left="5040" w:hanging="360"/>
      </w:pPr>
      <w:rPr>
        <w:rFonts w:ascii="Arial" w:hAnsi="Arial" w:hint="default"/>
      </w:rPr>
    </w:lvl>
    <w:lvl w:ilvl="7" w:tplc="2BAE1AD4" w:tentative="1">
      <w:start w:val="1"/>
      <w:numFmt w:val="bullet"/>
      <w:lvlText w:val="•"/>
      <w:lvlJc w:val="left"/>
      <w:pPr>
        <w:tabs>
          <w:tab w:val="num" w:pos="5760"/>
        </w:tabs>
        <w:ind w:left="5760" w:hanging="360"/>
      </w:pPr>
      <w:rPr>
        <w:rFonts w:ascii="Arial" w:hAnsi="Arial" w:hint="default"/>
      </w:rPr>
    </w:lvl>
    <w:lvl w:ilvl="8" w:tplc="7E1A50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873B9A"/>
    <w:multiLevelType w:val="hybridMultilevel"/>
    <w:tmpl w:val="7ADA7D16"/>
    <w:lvl w:ilvl="0" w:tplc="523E7BDA">
      <w:start w:val="1"/>
      <w:numFmt w:val="bullet"/>
      <w:lvlText w:val="•"/>
      <w:lvlJc w:val="left"/>
      <w:pPr>
        <w:tabs>
          <w:tab w:val="num" w:pos="720"/>
        </w:tabs>
        <w:ind w:left="720" w:hanging="360"/>
      </w:pPr>
      <w:rPr>
        <w:rFonts w:ascii="Arial" w:hAnsi="Arial" w:hint="default"/>
      </w:rPr>
    </w:lvl>
    <w:lvl w:ilvl="1" w:tplc="C52CAFC6" w:tentative="1">
      <w:start w:val="1"/>
      <w:numFmt w:val="bullet"/>
      <w:lvlText w:val="•"/>
      <w:lvlJc w:val="left"/>
      <w:pPr>
        <w:tabs>
          <w:tab w:val="num" w:pos="1440"/>
        </w:tabs>
        <w:ind w:left="1440" w:hanging="360"/>
      </w:pPr>
      <w:rPr>
        <w:rFonts w:ascii="Arial" w:hAnsi="Arial" w:hint="default"/>
      </w:rPr>
    </w:lvl>
    <w:lvl w:ilvl="2" w:tplc="E8F8324A" w:tentative="1">
      <w:start w:val="1"/>
      <w:numFmt w:val="bullet"/>
      <w:lvlText w:val="•"/>
      <w:lvlJc w:val="left"/>
      <w:pPr>
        <w:tabs>
          <w:tab w:val="num" w:pos="2160"/>
        </w:tabs>
        <w:ind w:left="2160" w:hanging="360"/>
      </w:pPr>
      <w:rPr>
        <w:rFonts w:ascii="Arial" w:hAnsi="Arial" w:hint="default"/>
      </w:rPr>
    </w:lvl>
    <w:lvl w:ilvl="3" w:tplc="AF6EA6E6" w:tentative="1">
      <w:start w:val="1"/>
      <w:numFmt w:val="bullet"/>
      <w:lvlText w:val="•"/>
      <w:lvlJc w:val="left"/>
      <w:pPr>
        <w:tabs>
          <w:tab w:val="num" w:pos="2880"/>
        </w:tabs>
        <w:ind w:left="2880" w:hanging="360"/>
      </w:pPr>
      <w:rPr>
        <w:rFonts w:ascii="Arial" w:hAnsi="Arial" w:hint="default"/>
      </w:rPr>
    </w:lvl>
    <w:lvl w:ilvl="4" w:tplc="76122DCC" w:tentative="1">
      <w:start w:val="1"/>
      <w:numFmt w:val="bullet"/>
      <w:lvlText w:val="•"/>
      <w:lvlJc w:val="left"/>
      <w:pPr>
        <w:tabs>
          <w:tab w:val="num" w:pos="3600"/>
        </w:tabs>
        <w:ind w:left="3600" w:hanging="360"/>
      </w:pPr>
      <w:rPr>
        <w:rFonts w:ascii="Arial" w:hAnsi="Arial" w:hint="default"/>
      </w:rPr>
    </w:lvl>
    <w:lvl w:ilvl="5" w:tplc="67EAF3B4" w:tentative="1">
      <w:start w:val="1"/>
      <w:numFmt w:val="bullet"/>
      <w:lvlText w:val="•"/>
      <w:lvlJc w:val="left"/>
      <w:pPr>
        <w:tabs>
          <w:tab w:val="num" w:pos="4320"/>
        </w:tabs>
        <w:ind w:left="4320" w:hanging="360"/>
      </w:pPr>
      <w:rPr>
        <w:rFonts w:ascii="Arial" w:hAnsi="Arial" w:hint="default"/>
      </w:rPr>
    </w:lvl>
    <w:lvl w:ilvl="6" w:tplc="06B0ED42" w:tentative="1">
      <w:start w:val="1"/>
      <w:numFmt w:val="bullet"/>
      <w:lvlText w:val="•"/>
      <w:lvlJc w:val="left"/>
      <w:pPr>
        <w:tabs>
          <w:tab w:val="num" w:pos="5040"/>
        </w:tabs>
        <w:ind w:left="5040" w:hanging="360"/>
      </w:pPr>
      <w:rPr>
        <w:rFonts w:ascii="Arial" w:hAnsi="Arial" w:hint="default"/>
      </w:rPr>
    </w:lvl>
    <w:lvl w:ilvl="7" w:tplc="B894AF94" w:tentative="1">
      <w:start w:val="1"/>
      <w:numFmt w:val="bullet"/>
      <w:lvlText w:val="•"/>
      <w:lvlJc w:val="left"/>
      <w:pPr>
        <w:tabs>
          <w:tab w:val="num" w:pos="5760"/>
        </w:tabs>
        <w:ind w:left="5760" w:hanging="360"/>
      </w:pPr>
      <w:rPr>
        <w:rFonts w:ascii="Arial" w:hAnsi="Arial" w:hint="default"/>
      </w:rPr>
    </w:lvl>
    <w:lvl w:ilvl="8" w:tplc="497A53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5F022A"/>
    <w:multiLevelType w:val="multilevel"/>
    <w:tmpl w:val="F976E844"/>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0C01FF7"/>
    <w:multiLevelType w:val="hybridMultilevel"/>
    <w:tmpl w:val="09D465B0"/>
    <w:lvl w:ilvl="0" w:tplc="66F05E7C">
      <w:start w:val="1"/>
      <w:numFmt w:val="bullet"/>
      <w:lvlText w:val="•"/>
      <w:lvlJc w:val="left"/>
      <w:pPr>
        <w:tabs>
          <w:tab w:val="num" w:pos="720"/>
        </w:tabs>
        <w:ind w:left="720" w:hanging="360"/>
      </w:pPr>
      <w:rPr>
        <w:rFonts w:ascii="Arial" w:hAnsi="Arial" w:hint="default"/>
      </w:rPr>
    </w:lvl>
    <w:lvl w:ilvl="1" w:tplc="1DD01A8C" w:tentative="1">
      <w:start w:val="1"/>
      <w:numFmt w:val="bullet"/>
      <w:lvlText w:val="•"/>
      <w:lvlJc w:val="left"/>
      <w:pPr>
        <w:tabs>
          <w:tab w:val="num" w:pos="1440"/>
        </w:tabs>
        <w:ind w:left="1440" w:hanging="360"/>
      </w:pPr>
      <w:rPr>
        <w:rFonts w:ascii="Arial" w:hAnsi="Arial" w:hint="default"/>
      </w:rPr>
    </w:lvl>
    <w:lvl w:ilvl="2" w:tplc="DE109128" w:tentative="1">
      <w:start w:val="1"/>
      <w:numFmt w:val="bullet"/>
      <w:lvlText w:val="•"/>
      <w:lvlJc w:val="left"/>
      <w:pPr>
        <w:tabs>
          <w:tab w:val="num" w:pos="2160"/>
        </w:tabs>
        <w:ind w:left="2160" w:hanging="360"/>
      </w:pPr>
      <w:rPr>
        <w:rFonts w:ascii="Arial" w:hAnsi="Arial" w:hint="default"/>
      </w:rPr>
    </w:lvl>
    <w:lvl w:ilvl="3" w:tplc="3BD2656E" w:tentative="1">
      <w:start w:val="1"/>
      <w:numFmt w:val="bullet"/>
      <w:lvlText w:val="•"/>
      <w:lvlJc w:val="left"/>
      <w:pPr>
        <w:tabs>
          <w:tab w:val="num" w:pos="2880"/>
        </w:tabs>
        <w:ind w:left="2880" w:hanging="360"/>
      </w:pPr>
      <w:rPr>
        <w:rFonts w:ascii="Arial" w:hAnsi="Arial" w:hint="default"/>
      </w:rPr>
    </w:lvl>
    <w:lvl w:ilvl="4" w:tplc="B7A0F2C6" w:tentative="1">
      <w:start w:val="1"/>
      <w:numFmt w:val="bullet"/>
      <w:lvlText w:val="•"/>
      <w:lvlJc w:val="left"/>
      <w:pPr>
        <w:tabs>
          <w:tab w:val="num" w:pos="3600"/>
        </w:tabs>
        <w:ind w:left="3600" w:hanging="360"/>
      </w:pPr>
      <w:rPr>
        <w:rFonts w:ascii="Arial" w:hAnsi="Arial" w:hint="default"/>
      </w:rPr>
    </w:lvl>
    <w:lvl w:ilvl="5" w:tplc="453EBF58" w:tentative="1">
      <w:start w:val="1"/>
      <w:numFmt w:val="bullet"/>
      <w:lvlText w:val="•"/>
      <w:lvlJc w:val="left"/>
      <w:pPr>
        <w:tabs>
          <w:tab w:val="num" w:pos="4320"/>
        </w:tabs>
        <w:ind w:left="4320" w:hanging="360"/>
      </w:pPr>
      <w:rPr>
        <w:rFonts w:ascii="Arial" w:hAnsi="Arial" w:hint="default"/>
      </w:rPr>
    </w:lvl>
    <w:lvl w:ilvl="6" w:tplc="2A4AD41E" w:tentative="1">
      <w:start w:val="1"/>
      <w:numFmt w:val="bullet"/>
      <w:lvlText w:val="•"/>
      <w:lvlJc w:val="left"/>
      <w:pPr>
        <w:tabs>
          <w:tab w:val="num" w:pos="5040"/>
        </w:tabs>
        <w:ind w:left="5040" w:hanging="360"/>
      </w:pPr>
      <w:rPr>
        <w:rFonts w:ascii="Arial" w:hAnsi="Arial" w:hint="default"/>
      </w:rPr>
    </w:lvl>
    <w:lvl w:ilvl="7" w:tplc="242AC4E2" w:tentative="1">
      <w:start w:val="1"/>
      <w:numFmt w:val="bullet"/>
      <w:lvlText w:val="•"/>
      <w:lvlJc w:val="left"/>
      <w:pPr>
        <w:tabs>
          <w:tab w:val="num" w:pos="5760"/>
        </w:tabs>
        <w:ind w:left="5760" w:hanging="360"/>
      </w:pPr>
      <w:rPr>
        <w:rFonts w:ascii="Arial" w:hAnsi="Arial" w:hint="default"/>
      </w:rPr>
    </w:lvl>
    <w:lvl w:ilvl="8" w:tplc="B6BE38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26293F"/>
    <w:multiLevelType w:val="hybridMultilevel"/>
    <w:tmpl w:val="072EE07C"/>
    <w:lvl w:ilvl="0" w:tplc="7AF46C92">
      <w:start w:val="1"/>
      <w:numFmt w:val="decimal"/>
      <w:lvlText w:val="%1."/>
      <w:lvlJc w:val="left"/>
      <w:pPr>
        <w:tabs>
          <w:tab w:val="num" w:pos="720"/>
        </w:tabs>
        <w:ind w:left="720" w:hanging="360"/>
      </w:pPr>
    </w:lvl>
    <w:lvl w:ilvl="1" w:tplc="915042B4">
      <w:start w:val="1"/>
      <w:numFmt w:val="decimal"/>
      <w:lvlText w:val="%2."/>
      <w:lvlJc w:val="left"/>
      <w:pPr>
        <w:tabs>
          <w:tab w:val="num" w:pos="1440"/>
        </w:tabs>
        <w:ind w:left="1440" w:hanging="360"/>
      </w:pPr>
    </w:lvl>
    <w:lvl w:ilvl="2" w:tplc="53B8113E" w:tentative="1">
      <w:start w:val="1"/>
      <w:numFmt w:val="decimal"/>
      <w:lvlText w:val="%3."/>
      <w:lvlJc w:val="left"/>
      <w:pPr>
        <w:tabs>
          <w:tab w:val="num" w:pos="2160"/>
        </w:tabs>
        <w:ind w:left="2160" w:hanging="360"/>
      </w:pPr>
    </w:lvl>
    <w:lvl w:ilvl="3" w:tplc="BF943B3C" w:tentative="1">
      <w:start w:val="1"/>
      <w:numFmt w:val="decimal"/>
      <w:lvlText w:val="%4."/>
      <w:lvlJc w:val="left"/>
      <w:pPr>
        <w:tabs>
          <w:tab w:val="num" w:pos="2880"/>
        </w:tabs>
        <w:ind w:left="2880" w:hanging="360"/>
      </w:pPr>
    </w:lvl>
    <w:lvl w:ilvl="4" w:tplc="DEF2AB00" w:tentative="1">
      <w:start w:val="1"/>
      <w:numFmt w:val="decimal"/>
      <w:lvlText w:val="%5."/>
      <w:lvlJc w:val="left"/>
      <w:pPr>
        <w:tabs>
          <w:tab w:val="num" w:pos="3600"/>
        </w:tabs>
        <w:ind w:left="3600" w:hanging="360"/>
      </w:pPr>
    </w:lvl>
    <w:lvl w:ilvl="5" w:tplc="BD887E6E" w:tentative="1">
      <w:start w:val="1"/>
      <w:numFmt w:val="decimal"/>
      <w:lvlText w:val="%6."/>
      <w:lvlJc w:val="left"/>
      <w:pPr>
        <w:tabs>
          <w:tab w:val="num" w:pos="4320"/>
        </w:tabs>
        <w:ind w:left="4320" w:hanging="360"/>
      </w:pPr>
    </w:lvl>
    <w:lvl w:ilvl="6" w:tplc="DEE461E4" w:tentative="1">
      <w:start w:val="1"/>
      <w:numFmt w:val="decimal"/>
      <w:lvlText w:val="%7."/>
      <w:lvlJc w:val="left"/>
      <w:pPr>
        <w:tabs>
          <w:tab w:val="num" w:pos="5040"/>
        </w:tabs>
        <w:ind w:left="5040" w:hanging="360"/>
      </w:pPr>
    </w:lvl>
    <w:lvl w:ilvl="7" w:tplc="FF10B4FE" w:tentative="1">
      <w:start w:val="1"/>
      <w:numFmt w:val="decimal"/>
      <w:lvlText w:val="%8."/>
      <w:lvlJc w:val="left"/>
      <w:pPr>
        <w:tabs>
          <w:tab w:val="num" w:pos="5760"/>
        </w:tabs>
        <w:ind w:left="5760" w:hanging="360"/>
      </w:pPr>
    </w:lvl>
    <w:lvl w:ilvl="8" w:tplc="297A980C" w:tentative="1">
      <w:start w:val="1"/>
      <w:numFmt w:val="decimal"/>
      <w:lvlText w:val="%9."/>
      <w:lvlJc w:val="left"/>
      <w:pPr>
        <w:tabs>
          <w:tab w:val="num" w:pos="6480"/>
        </w:tabs>
        <w:ind w:left="6480" w:hanging="360"/>
      </w:pPr>
    </w:lvl>
  </w:abstractNum>
  <w:abstractNum w:abstractNumId="13" w15:restartNumberingAfterBreak="0">
    <w:nsid w:val="616776DE"/>
    <w:multiLevelType w:val="hybridMultilevel"/>
    <w:tmpl w:val="FB3CE050"/>
    <w:lvl w:ilvl="0" w:tplc="0C6A8676">
      <w:start w:val="1"/>
      <w:numFmt w:val="bullet"/>
      <w:lvlText w:val="o"/>
      <w:lvlJc w:val="left"/>
      <w:pPr>
        <w:tabs>
          <w:tab w:val="num" w:pos="720"/>
        </w:tabs>
        <w:ind w:left="720" w:hanging="360"/>
      </w:pPr>
      <w:rPr>
        <w:rFonts w:ascii="Courier New" w:hAnsi="Courier New" w:hint="default"/>
      </w:rPr>
    </w:lvl>
    <w:lvl w:ilvl="1" w:tplc="E0C478C0">
      <w:start w:val="1"/>
      <w:numFmt w:val="bullet"/>
      <w:lvlText w:val="o"/>
      <w:lvlJc w:val="left"/>
      <w:pPr>
        <w:tabs>
          <w:tab w:val="num" w:pos="1440"/>
        </w:tabs>
        <w:ind w:left="1440" w:hanging="360"/>
      </w:pPr>
      <w:rPr>
        <w:rFonts w:ascii="Courier New" w:hAnsi="Courier New" w:hint="default"/>
      </w:rPr>
    </w:lvl>
    <w:lvl w:ilvl="2" w:tplc="BF8AA7D4" w:tentative="1">
      <w:start w:val="1"/>
      <w:numFmt w:val="bullet"/>
      <w:lvlText w:val="o"/>
      <w:lvlJc w:val="left"/>
      <w:pPr>
        <w:tabs>
          <w:tab w:val="num" w:pos="2160"/>
        </w:tabs>
        <w:ind w:left="2160" w:hanging="360"/>
      </w:pPr>
      <w:rPr>
        <w:rFonts w:ascii="Courier New" w:hAnsi="Courier New" w:hint="default"/>
      </w:rPr>
    </w:lvl>
    <w:lvl w:ilvl="3" w:tplc="D9D412BE" w:tentative="1">
      <w:start w:val="1"/>
      <w:numFmt w:val="bullet"/>
      <w:lvlText w:val="o"/>
      <w:lvlJc w:val="left"/>
      <w:pPr>
        <w:tabs>
          <w:tab w:val="num" w:pos="2880"/>
        </w:tabs>
        <w:ind w:left="2880" w:hanging="360"/>
      </w:pPr>
      <w:rPr>
        <w:rFonts w:ascii="Courier New" w:hAnsi="Courier New" w:hint="default"/>
      </w:rPr>
    </w:lvl>
    <w:lvl w:ilvl="4" w:tplc="5F908D7A" w:tentative="1">
      <w:start w:val="1"/>
      <w:numFmt w:val="bullet"/>
      <w:lvlText w:val="o"/>
      <w:lvlJc w:val="left"/>
      <w:pPr>
        <w:tabs>
          <w:tab w:val="num" w:pos="3600"/>
        </w:tabs>
        <w:ind w:left="3600" w:hanging="360"/>
      </w:pPr>
      <w:rPr>
        <w:rFonts w:ascii="Courier New" w:hAnsi="Courier New" w:hint="default"/>
      </w:rPr>
    </w:lvl>
    <w:lvl w:ilvl="5" w:tplc="F2DA2A5E" w:tentative="1">
      <w:start w:val="1"/>
      <w:numFmt w:val="bullet"/>
      <w:lvlText w:val="o"/>
      <w:lvlJc w:val="left"/>
      <w:pPr>
        <w:tabs>
          <w:tab w:val="num" w:pos="4320"/>
        </w:tabs>
        <w:ind w:left="4320" w:hanging="360"/>
      </w:pPr>
      <w:rPr>
        <w:rFonts w:ascii="Courier New" w:hAnsi="Courier New" w:hint="default"/>
      </w:rPr>
    </w:lvl>
    <w:lvl w:ilvl="6" w:tplc="E0EE8C94" w:tentative="1">
      <w:start w:val="1"/>
      <w:numFmt w:val="bullet"/>
      <w:lvlText w:val="o"/>
      <w:lvlJc w:val="left"/>
      <w:pPr>
        <w:tabs>
          <w:tab w:val="num" w:pos="5040"/>
        </w:tabs>
        <w:ind w:left="5040" w:hanging="360"/>
      </w:pPr>
      <w:rPr>
        <w:rFonts w:ascii="Courier New" w:hAnsi="Courier New" w:hint="default"/>
      </w:rPr>
    </w:lvl>
    <w:lvl w:ilvl="7" w:tplc="75222448" w:tentative="1">
      <w:start w:val="1"/>
      <w:numFmt w:val="bullet"/>
      <w:lvlText w:val="o"/>
      <w:lvlJc w:val="left"/>
      <w:pPr>
        <w:tabs>
          <w:tab w:val="num" w:pos="5760"/>
        </w:tabs>
        <w:ind w:left="5760" w:hanging="360"/>
      </w:pPr>
      <w:rPr>
        <w:rFonts w:ascii="Courier New" w:hAnsi="Courier New" w:hint="default"/>
      </w:rPr>
    </w:lvl>
    <w:lvl w:ilvl="8" w:tplc="30881A46" w:tentative="1">
      <w:start w:val="1"/>
      <w:numFmt w:val="bullet"/>
      <w:lvlText w:val="o"/>
      <w:lvlJc w:val="left"/>
      <w:pPr>
        <w:tabs>
          <w:tab w:val="num" w:pos="6480"/>
        </w:tabs>
        <w:ind w:left="6480" w:hanging="360"/>
      </w:pPr>
      <w:rPr>
        <w:rFonts w:ascii="Courier New" w:hAnsi="Courier New" w:hint="default"/>
      </w:rPr>
    </w:lvl>
  </w:abstractNum>
  <w:num w:numId="1">
    <w:abstractNumId w:val="6"/>
  </w:num>
  <w:num w:numId="2">
    <w:abstractNumId w:val="10"/>
  </w:num>
  <w:num w:numId="3">
    <w:abstractNumId w:val="4"/>
  </w:num>
  <w:num w:numId="4">
    <w:abstractNumId w:val="7"/>
  </w:num>
  <w:num w:numId="5">
    <w:abstractNumId w:val="9"/>
  </w:num>
  <w:num w:numId="6">
    <w:abstractNumId w:val="8"/>
  </w:num>
  <w:num w:numId="7">
    <w:abstractNumId w:val="3"/>
  </w:num>
  <w:num w:numId="8">
    <w:abstractNumId w:val="5"/>
  </w:num>
  <w:num w:numId="9">
    <w:abstractNumId w:val="0"/>
  </w:num>
  <w:num w:numId="10">
    <w:abstractNumId w:val="13"/>
  </w:num>
  <w:num w:numId="11">
    <w:abstractNumId w:val="11"/>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D3"/>
    <w:rsid w:val="00083228"/>
    <w:rsid w:val="000932EB"/>
    <w:rsid w:val="000C4F02"/>
    <w:rsid w:val="000F3040"/>
    <w:rsid w:val="000F5B8A"/>
    <w:rsid w:val="00100754"/>
    <w:rsid w:val="001179A5"/>
    <w:rsid w:val="00131BAC"/>
    <w:rsid w:val="001F7FBE"/>
    <w:rsid w:val="00284E3B"/>
    <w:rsid w:val="0030226B"/>
    <w:rsid w:val="0033740F"/>
    <w:rsid w:val="003A74EC"/>
    <w:rsid w:val="00412F11"/>
    <w:rsid w:val="004977E4"/>
    <w:rsid w:val="004B1601"/>
    <w:rsid w:val="004C2B08"/>
    <w:rsid w:val="004E0D47"/>
    <w:rsid w:val="004F7016"/>
    <w:rsid w:val="00550730"/>
    <w:rsid w:val="00553DC7"/>
    <w:rsid w:val="00587610"/>
    <w:rsid w:val="005F68B1"/>
    <w:rsid w:val="0061755F"/>
    <w:rsid w:val="00622FBF"/>
    <w:rsid w:val="00630764"/>
    <w:rsid w:val="006725F0"/>
    <w:rsid w:val="00677E82"/>
    <w:rsid w:val="00696944"/>
    <w:rsid w:val="006C4080"/>
    <w:rsid w:val="006E0E47"/>
    <w:rsid w:val="006F6C9A"/>
    <w:rsid w:val="00732F49"/>
    <w:rsid w:val="007652FF"/>
    <w:rsid w:val="00805564"/>
    <w:rsid w:val="00810ACB"/>
    <w:rsid w:val="00812FD9"/>
    <w:rsid w:val="0088174A"/>
    <w:rsid w:val="008F6DC1"/>
    <w:rsid w:val="0096328B"/>
    <w:rsid w:val="009A3706"/>
    <w:rsid w:val="009E1AAE"/>
    <w:rsid w:val="00A342D3"/>
    <w:rsid w:val="00A87B14"/>
    <w:rsid w:val="00A942C9"/>
    <w:rsid w:val="00AF379C"/>
    <w:rsid w:val="00B154F5"/>
    <w:rsid w:val="00B174B1"/>
    <w:rsid w:val="00B45048"/>
    <w:rsid w:val="00B65A58"/>
    <w:rsid w:val="00B77E07"/>
    <w:rsid w:val="00BA245F"/>
    <w:rsid w:val="00CB4076"/>
    <w:rsid w:val="00DA3CC2"/>
    <w:rsid w:val="00E0099F"/>
    <w:rsid w:val="00EF17FA"/>
    <w:rsid w:val="00EF3F8B"/>
    <w:rsid w:val="00F269DD"/>
    <w:rsid w:val="00F52F39"/>
    <w:rsid w:val="00F81132"/>
    <w:rsid w:val="00F974A6"/>
    <w:rsid w:val="00FA2834"/>
    <w:rsid w:val="0765ADBB"/>
    <w:rsid w:val="795B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2371"/>
  <w15:chartTrackingRefBased/>
  <w15:docId w15:val="{844B0D98-38BA-4145-9260-99E0AF4A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D3"/>
    <w:pPr>
      <w:ind w:left="720"/>
      <w:contextualSpacing/>
    </w:pPr>
  </w:style>
  <w:style w:type="character" w:styleId="Hyperlink">
    <w:name w:val="Hyperlink"/>
    <w:basedOn w:val="DefaultParagraphFont"/>
    <w:uiPriority w:val="99"/>
    <w:unhideWhenUsed/>
    <w:rsid w:val="00A342D3"/>
    <w:rPr>
      <w:color w:val="0000FF"/>
      <w:u w:val="single"/>
    </w:rPr>
  </w:style>
  <w:style w:type="table" w:styleId="TableGrid">
    <w:name w:val="Table Grid"/>
    <w:basedOn w:val="TableNormal"/>
    <w:uiPriority w:val="39"/>
    <w:rsid w:val="0058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7E4"/>
    <w:rPr>
      <w:b/>
      <w:bCs/>
    </w:rPr>
  </w:style>
  <w:style w:type="character" w:customStyle="1" w:styleId="CommentSubjectChar">
    <w:name w:val="Comment Subject Char"/>
    <w:basedOn w:val="CommentTextChar"/>
    <w:link w:val="CommentSubject"/>
    <w:uiPriority w:val="99"/>
    <w:semiHidden/>
    <w:rsid w:val="004977E4"/>
    <w:rPr>
      <w:b/>
      <w:bCs/>
      <w:sz w:val="20"/>
      <w:szCs w:val="20"/>
    </w:rPr>
  </w:style>
  <w:style w:type="character" w:styleId="FollowedHyperlink">
    <w:name w:val="FollowedHyperlink"/>
    <w:basedOn w:val="DefaultParagraphFont"/>
    <w:uiPriority w:val="99"/>
    <w:semiHidden/>
    <w:unhideWhenUsed/>
    <w:rsid w:val="00622FBF"/>
    <w:rPr>
      <w:color w:val="954F72" w:themeColor="followedHyperlink"/>
      <w:u w:val="single"/>
    </w:rPr>
  </w:style>
  <w:style w:type="paragraph" w:styleId="HTMLPreformatted">
    <w:name w:val="HTML Preformatted"/>
    <w:basedOn w:val="Normal"/>
    <w:link w:val="HTMLPreformattedChar"/>
    <w:uiPriority w:val="99"/>
    <w:semiHidden/>
    <w:unhideWhenUsed/>
    <w:rsid w:val="003022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22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4379">
      <w:bodyDiv w:val="1"/>
      <w:marLeft w:val="0"/>
      <w:marRight w:val="0"/>
      <w:marTop w:val="0"/>
      <w:marBottom w:val="0"/>
      <w:divBdr>
        <w:top w:val="none" w:sz="0" w:space="0" w:color="auto"/>
        <w:left w:val="none" w:sz="0" w:space="0" w:color="auto"/>
        <w:bottom w:val="none" w:sz="0" w:space="0" w:color="auto"/>
        <w:right w:val="none" w:sz="0" w:space="0" w:color="auto"/>
      </w:divBdr>
    </w:div>
    <w:div w:id="33241239">
      <w:bodyDiv w:val="1"/>
      <w:marLeft w:val="0"/>
      <w:marRight w:val="0"/>
      <w:marTop w:val="0"/>
      <w:marBottom w:val="0"/>
      <w:divBdr>
        <w:top w:val="none" w:sz="0" w:space="0" w:color="auto"/>
        <w:left w:val="none" w:sz="0" w:space="0" w:color="auto"/>
        <w:bottom w:val="none" w:sz="0" w:space="0" w:color="auto"/>
        <w:right w:val="none" w:sz="0" w:space="0" w:color="auto"/>
      </w:divBdr>
      <w:divsChild>
        <w:div w:id="1327786061">
          <w:marLeft w:val="994"/>
          <w:marRight w:val="0"/>
          <w:marTop w:val="0"/>
          <w:marBottom w:val="0"/>
          <w:divBdr>
            <w:top w:val="none" w:sz="0" w:space="0" w:color="auto"/>
            <w:left w:val="none" w:sz="0" w:space="0" w:color="auto"/>
            <w:bottom w:val="none" w:sz="0" w:space="0" w:color="auto"/>
            <w:right w:val="none" w:sz="0" w:space="0" w:color="auto"/>
          </w:divBdr>
        </w:div>
      </w:divsChild>
    </w:div>
    <w:div w:id="95831357">
      <w:bodyDiv w:val="1"/>
      <w:marLeft w:val="0"/>
      <w:marRight w:val="0"/>
      <w:marTop w:val="0"/>
      <w:marBottom w:val="0"/>
      <w:divBdr>
        <w:top w:val="none" w:sz="0" w:space="0" w:color="auto"/>
        <w:left w:val="none" w:sz="0" w:space="0" w:color="auto"/>
        <w:bottom w:val="none" w:sz="0" w:space="0" w:color="auto"/>
        <w:right w:val="none" w:sz="0" w:space="0" w:color="auto"/>
      </w:divBdr>
      <w:divsChild>
        <w:div w:id="1693144582">
          <w:marLeft w:val="274"/>
          <w:marRight w:val="0"/>
          <w:marTop w:val="0"/>
          <w:marBottom w:val="0"/>
          <w:divBdr>
            <w:top w:val="none" w:sz="0" w:space="0" w:color="auto"/>
            <w:left w:val="none" w:sz="0" w:space="0" w:color="auto"/>
            <w:bottom w:val="none" w:sz="0" w:space="0" w:color="auto"/>
            <w:right w:val="none" w:sz="0" w:space="0" w:color="auto"/>
          </w:divBdr>
        </w:div>
        <w:div w:id="1103647039">
          <w:marLeft w:val="994"/>
          <w:marRight w:val="0"/>
          <w:marTop w:val="0"/>
          <w:marBottom w:val="0"/>
          <w:divBdr>
            <w:top w:val="none" w:sz="0" w:space="0" w:color="auto"/>
            <w:left w:val="none" w:sz="0" w:space="0" w:color="auto"/>
            <w:bottom w:val="none" w:sz="0" w:space="0" w:color="auto"/>
            <w:right w:val="none" w:sz="0" w:space="0" w:color="auto"/>
          </w:divBdr>
        </w:div>
      </w:divsChild>
    </w:div>
    <w:div w:id="201745002">
      <w:bodyDiv w:val="1"/>
      <w:marLeft w:val="0"/>
      <w:marRight w:val="0"/>
      <w:marTop w:val="0"/>
      <w:marBottom w:val="0"/>
      <w:divBdr>
        <w:top w:val="none" w:sz="0" w:space="0" w:color="auto"/>
        <w:left w:val="none" w:sz="0" w:space="0" w:color="auto"/>
        <w:bottom w:val="none" w:sz="0" w:space="0" w:color="auto"/>
        <w:right w:val="none" w:sz="0" w:space="0" w:color="auto"/>
      </w:divBdr>
      <w:divsChild>
        <w:div w:id="288245225">
          <w:marLeft w:val="1166"/>
          <w:marRight w:val="0"/>
          <w:marTop w:val="86"/>
          <w:marBottom w:val="0"/>
          <w:divBdr>
            <w:top w:val="none" w:sz="0" w:space="0" w:color="auto"/>
            <w:left w:val="none" w:sz="0" w:space="0" w:color="auto"/>
            <w:bottom w:val="none" w:sz="0" w:space="0" w:color="auto"/>
            <w:right w:val="none" w:sz="0" w:space="0" w:color="auto"/>
          </w:divBdr>
        </w:div>
      </w:divsChild>
    </w:div>
    <w:div w:id="220286855">
      <w:bodyDiv w:val="1"/>
      <w:marLeft w:val="0"/>
      <w:marRight w:val="0"/>
      <w:marTop w:val="0"/>
      <w:marBottom w:val="0"/>
      <w:divBdr>
        <w:top w:val="none" w:sz="0" w:space="0" w:color="auto"/>
        <w:left w:val="none" w:sz="0" w:space="0" w:color="auto"/>
        <w:bottom w:val="none" w:sz="0" w:space="0" w:color="auto"/>
        <w:right w:val="none" w:sz="0" w:space="0" w:color="auto"/>
      </w:divBdr>
    </w:div>
    <w:div w:id="330067940">
      <w:bodyDiv w:val="1"/>
      <w:marLeft w:val="0"/>
      <w:marRight w:val="0"/>
      <w:marTop w:val="0"/>
      <w:marBottom w:val="0"/>
      <w:divBdr>
        <w:top w:val="none" w:sz="0" w:space="0" w:color="auto"/>
        <w:left w:val="none" w:sz="0" w:space="0" w:color="auto"/>
        <w:bottom w:val="none" w:sz="0" w:space="0" w:color="auto"/>
        <w:right w:val="none" w:sz="0" w:space="0" w:color="auto"/>
      </w:divBdr>
      <w:divsChild>
        <w:div w:id="671833131">
          <w:marLeft w:val="360"/>
          <w:marRight w:val="0"/>
          <w:marTop w:val="0"/>
          <w:marBottom w:val="0"/>
          <w:divBdr>
            <w:top w:val="none" w:sz="0" w:space="0" w:color="auto"/>
            <w:left w:val="none" w:sz="0" w:space="0" w:color="auto"/>
            <w:bottom w:val="none" w:sz="0" w:space="0" w:color="auto"/>
            <w:right w:val="none" w:sz="0" w:space="0" w:color="auto"/>
          </w:divBdr>
        </w:div>
      </w:divsChild>
    </w:div>
    <w:div w:id="422263376">
      <w:bodyDiv w:val="1"/>
      <w:marLeft w:val="0"/>
      <w:marRight w:val="0"/>
      <w:marTop w:val="0"/>
      <w:marBottom w:val="0"/>
      <w:divBdr>
        <w:top w:val="none" w:sz="0" w:space="0" w:color="auto"/>
        <w:left w:val="none" w:sz="0" w:space="0" w:color="auto"/>
        <w:bottom w:val="none" w:sz="0" w:space="0" w:color="auto"/>
        <w:right w:val="none" w:sz="0" w:space="0" w:color="auto"/>
      </w:divBdr>
    </w:div>
    <w:div w:id="616763315">
      <w:bodyDiv w:val="1"/>
      <w:marLeft w:val="0"/>
      <w:marRight w:val="0"/>
      <w:marTop w:val="0"/>
      <w:marBottom w:val="0"/>
      <w:divBdr>
        <w:top w:val="none" w:sz="0" w:space="0" w:color="auto"/>
        <w:left w:val="none" w:sz="0" w:space="0" w:color="auto"/>
        <w:bottom w:val="none" w:sz="0" w:space="0" w:color="auto"/>
        <w:right w:val="none" w:sz="0" w:space="0" w:color="auto"/>
      </w:divBdr>
    </w:div>
    <w:div w:id="680819295">
      <w:bodyDiv w:val="1"/>
      <w:marLeft w:val="0"/>
      <w:marRight w:val="0"/>
      <w:marTop w:val="0"/>
      <w:marBottom w:val="0"/>
      <w:divBdr>
        <w:top w:val="none" w:sz="0" w:space="0" w:color="auto"/>
        <w:left w:val="none" w:sz="0" w:space="0" w:color="auto"/>
        <w:bottom w:val="none" w:sz="0" w:space="0" w:color="auto"/>
        <w:right w:val="none" w:sz="0" w:space="0" w:color="auto"/>
      </w:divBdr>
    </w:div>
    <w:div w:id="716320226">
      <w:bodyDiv w:val="1"/>
      <w:marLeft w:val="0"/>
      <w:marRight w:val="0"/>
      <w:marTop w:val="0"/>
      <w:marBottom w:val="0"/>
      <w:divBdr>
        <w:top w:val="none" w:sz="0" w:space="0" w:color="auto"/>
        <w:left w:val="none" w:sz="0" w:space="0" w:color="auto"/>
        <w:bottom w:val="none" w:sz="0" w:space="0" w:color="auto"/>
        <w:right w:val="none" w:sz="0" w:space="0" w:color="auto"/>
      </w:divBdr>
    </w:div>
    <w:div w:id="784036368">
      <w:bodyDiv w:val="1"/>
      <w:marLeft w:val="0"/>
      <w:marRight w:val="0"/>
      <w:marTop w:val="0"/>
      <w:marBottom w:val="0"/>
      <w:divBdr>
        <w:top w:val="none" w:sz="0" w:space="0" w:color="auto"/>
        <w:left w:val="none" w:sz="0" w:space="0" w:color="auto"/>
        <w:bottom w:val="none" w:sz="0" w:space="0" w:color="auto"/>
        <w:right w:val="none" w:sz="0" w:space="0" w:color="auto"/>
      </w:divBdr>
    </w:div>
    <w:div w:id="860826678">
      <w:bodyDiv w:val="1"/>
      <w:marLeft w:val="0"/>
      <w:marRight w:val="0"/>
      <w:marTop w:val="0"/>
      <w:marBottom w:val="0"/>
      <w:divBdr>
        <w:top w:val="none" w:sz="0" w:space="0" w:color="auto"/>
        <w:left w:val="none" w:sz="0" w:space="0" w:color="auto"/>
        <w:bottom w:val="none" w:sz="0" w:space="0" w:color="auto"/>
        <w:right w:val="none" w:sz="0" w:space="0" w:color="auto"/>
      </w:divBdr>
      <w:divsChild>
        <w:div w:id="1810828911">
          <w:marLeft w:val="547"/>
          <w:marRight w:val="0"/>
          <w:marTop w:val="115"/>
          <w:marBottom w:val="0"/>
          <w:divBdr>
            <w:top w:val="none" w:sz="0" w:space="0" w:color="auto"/>
            <w:left w:val="none" w:sz="0" w:space="0" w:color="auto"/>
            <w:bottom w:val="none" w:sz="0" w:space="0" w:color="auto"/>
            <w:right w:val="none" w:sz="0" w:space="0" w:color="auto"/>
          </w:divBdr>
        </w:div>
      </w:divsChild>
    </w:div>
    <w:div w:id="875895008">
      <w:bodyDiv w:val="1"/>
      <w:marLeft w:val="0"/>
      <w:marRight w:val="0"/>
      <w:marTop w:val="0"/>
      <w:marBottom w:val="0"/>
      <w:divBdr>
        <w:top w:val="none" w:sz="0" w:space="0" w:color="auto"/>
        <w:left w:val="none" w:sz="0" w:space="0" w:color="auto"/>
        <w:bottom w:val="none" w:sz="0" w:space="0" w:color="auto"/>
        <w:right w:val="none" w:sz="0" w:space="0" w:color="auto"/>
      </w:divBdr>
      <w:divsChild>
        <w:div w:id="806976322">
          <w:marLeft w:val="274"/>
          <w:marRight w:val="0"/>
          <w:marTop w:val="0"/>
          <w:marBottom w:val="0"/>
          <w:divBdr>
            <w:top w:val="none" w:sz="0" w:space="0" w:color="auto"/>
            <w:left w:val="none" w:sz="0" w:space="0" w:color="auto"/>
            <w:bottom w:val="none" w:sz="0" w:space="0" w:color="auto"/>
            <w:right w:val="none" w:sz="0" w:space="0" w:color="auto"/>
          </w:divBdr>
        </w:div>
      </w:divsChild>
    </w:div>
    <w:div w:id="944115055">
      <w:bodyDiv w:val="1"/>
      <w:marLeft w:val="0"/>
      <w:marRight w:val="0"/>
      <w:marTop w:val="0"/>
      <w:marBottom w:val="0"/>
      <w:divBdr>
        <w:top w:val="none" w:sz="0" w:space="0" w:color="auto"/>
        <w:left w:val="none" w:sz="0" w:space="0" w:color="auto"/>
        <w:bottom w:val="none" w:sz="0" w:space="0" w:color="auto"/>
        <w:right w:val="none" w:sz="0" w:space="0" w:color="auto"/>
      </w:divBdr>
    </w:div>
    <w:div w:id="1002976534">
      <w:bodyDiv w:val="1"/>
      <w:marLeft w:val="0"/>
      <w:marRight w:val="0"/>
      <w:marTop w:val="0"/>
      <w:marBottom w:val="0"/>
      <w:divBdr>
        <w:top w:val="none" w:sz="0" w:space="0" w:color="auto"/>
        <w:left w:val="none" w:sz="0" w:space="0" w:color="auto"/>
        <w:bottom w:val="none" w:sz="0" w:space="0" w:color="auto"/>
        <w:right w:val="none" w:sz="0" w:space="0" w:color="auto"/>
      </w:divBdr>
      <w:divsChild>
        <w:div w:id="169176130">
          <w:marLeft w:val="360"/>
          <w:marRight w:val="0"/>
          <w:marTop w:val="0"/>
          <w:marBottom w:val="0"/>
          <w:divBdr>
            <w:top w:val="none" w:sz="0" w:space="0" w:color="auto"/>
            <w:left w:val="none" w:sz="0" w:space="0" w:color="auto"/>
            <w:bottom w:val="none" w:sz="0" w:space="0" w:color="auto"/>
            <w:right w:val="none" w:sz="0" w:space="0" w:color="auto"/>
          </w:divBdr>
        </w:div>
      </w:divsChild>
    </w:div>
    <w:div w:id="1087385042">
      <w:bodyDiv w:val="1"/>
      <w:marLeft w:val="0"/>
      <w:marRight w:val="0"/>
      <w:marTop w:val="0"/>
      <w:marBottom w:val="0"/>
      <w:divBdr>
        <w:top w:val="none" w:sz="0" w:space="0" w:color="auto"/>
        <w:left w:val="none" w:sz="0" w:space="0" w:color="auto"/>
        <w:bottom w:val="none" w:sz="0" w:space="0" w:color="auto"/>
        <w:right w:val="none" w:sz="0" w:space="0" w:color="auto"/>
      </w:divBdr>
    </w:div>
    <w:div w:id="1244293502">
      <w:bodyDiv w:val="1"/>
      <w:marLeft w:val="0"/>
      <w:marRight w:val="0"/>
      <w:marTop w:val="0"/>
      <w:marBottom w:val="0"/>
      <w:divBdr>
        <w:top w:val="none" w:sz="0" w:space="0" w:color="auto"/>
        <w:left w:val="none" w:sz="0" w:space="0" w:color="auto"/>
        <w:bottom w:val="none" w:sz="0" w:space="0" w:color="auto"/>
        <w:right w:val="none" w:sz="0" w:space="0" w:color="auto"/>
      </w:divBdr>
    </w:div>
    <w:div w:id="1277634112">
      <w:bodyDiv w:val="1"/>
      <w:marLeft w:val="0"/>
      <w:marRight w:val="0"/>
      <w:marTop w:val="0"/>
      <w:marBottom w:val="0"/>
      <w:divBdr>
        <w:top w:val="none" w:sz="0" w:space="0" w:color="auto"/>
        <w:left w:val="none" w:sz="0" w:space="0" w:color="auto"/>
        <w:bottom w:val="none" w:sz="0" w:space="0" w:color="auto"/>
        <w:right w:val="none" w:sz="0" w:space="0" w:color="auto"/>
      </w:divBdr>
      <w:divsChild>
        <w:div w:id="231353239">
          <w:marLeft w:val="1080"/>
          <w:marRight w:val="0"/>
          <w:marTop w:val="0"/>
          <w:marBottom w:val="0"/>
          <w:divBdr>
            <w:top w:val="none" w:sz="0" w:space="0" w:color="auto"/>
            <w:left w:val="none" w:sz="0" w:space="0" w:color="auto"/>
            <w:bottom w:val="none" w:sz="0" w:space="0" w:color="auto"/>
            <w:right w:val="none" w:sz="0" w:space="0" w:color="auto"/>
          </w:divBdr>
        </w:div>
      </w:divsChild>
    </w:div>
    <w:div w:id="1493787783">
      <w:bodyDiv w:val="1"/>
      <w:marLeft w:val="0"/>
      <w:marRight w:val="0"/>
      <w:marTop w:val="0"/>
      <w:marBottom w:val="0"/>
      <w:divBdr>
        <w:top w:val="none" w:sz="0" w:space="0" w:color="auto"/>
        <w:left w:val="none" w:sz="0" w:space="0" w:color="auto"/>
        <w:bottom w:val="none" w:sz="0" w:space="0" w:color="auto"/>
        <w:right w:val="none" w:sz="0" w:space="0" w:color="auto"/>
      </w:divBdr>
      <w:divsChild>
        <w:div w:id="1924099319">
          <w:marLeft w:val="274"/>
          <w:marRight w:val="0"/>
          <w:marTop w:val="0"/>
          <w:marBottom w:val="0"/>
          <w:divBdr>
            <w:top w:val="none" w:sz="0" w:space="0" w:color="auto"/>
            <w:left w:val="none" w:sz="0" w:space="0" w:color="auto"/>
            <w:bottom w:val="none" w:sz="0" w:space="0" w:color="auto"/>
            <w:right w:val="none" w:sz="0" w:space="0" w:color="auto"/>
          </w:divBdr>
        </w:div>
      </w:divsChild>
    </w:div>
    <w:div w:id="1623265994">
      <w:bodyDiv w:val="1"/>
      <w:marLeft w:val="0"/>
      <w:marRight w:val="0"/>
      <w:marTop w:val="0"/>
      <w:marBottom w:val="0"/>
      <w:divBdr>
        <w:top w:val="none" w:sz="0" w:space="0" w:color="auto"/>
        <w:left w:val="none" w:sz="0" w:space="0" w:color="auto"/>
        <w:bottom w:val="none" w:sz="0" w:space="0" w:color="auto"/>
        <w:right w:val="none" w:sz="0" w:space="0" w:color="auto"/>
      </w:divBdr>
    </w:div>
    <w:div w:id="1747143769">
      <w:bodyDiv w:val="1"/>
      <w:marLeft w:val="0"/>
      <w:marRight w:val="0"/>
      <w:marTop w:val="0"/>
      <w:marBottom w:val="0"/>
      <w:divBdr>
        <w:top w:val="none" w:sz="0" w:space="0" w:color="auto"/>
        <w:left w:val="none" w:sz="0" w:space="0" w:color="auto"/>
        <w:bottom w:val="none" w:sz="0" w:space="0" w:color="auto"/>
        <w:right w:val="none" w:sz="0" w:space="0" w:color="auto"/>
      </w:divBdr>
      <w:divsChild>
        <w:div w:id="346373010">
          <w:marLeft w:val="360"/>
          <w:marRight w:val="0"/>
          <w:marTop w:val="0"/>
          <w:marBottom w:val="0"/>
          <w:divBdr>
            <w:top w:val="none" w:sz="0" w:space="0" w:color="auto"/>
            <w:left w:val="none" w:sz="0" w:space="0" w:color="auto"/>
            <w:bottom w:val="none" w:sz="0" w:space="0" w:color="auto"/>
            <w:right w:val="none" w:sz="0" w:space="0" w:color="auto"/>
          </w:divBdr>
        </w:div>
      </w:divsChild>
    </w:div>
    <w:div w:id="1767655017">
      <w:bodyDiv w:val="1"/>
      <w:marLeft w:val="0"/>
      <w:marRight w:val="0"/>
      <w:marTop w:val="0"/>
      <w:marBottom w:val="0"/>
      <w:divBdr>
        <w:top w:val="none" w:sz="0" w:space="0" w:color="auto"/>
        <w:left w:val="none" w:sz="0" w:space="0" w:color="auto"/>
        <w:bottom w:val="none" w:sz="0" w:space="0" w:color="auto"/>
        <w:right w:val="none" w:sz="0" w:space="0" w:color="auto"/>
      </w:divBdr>
    </w:div>
    <w:div w:id="1802457399">
      <w:bodyDiv w:val="1"/>
      <w:marLeft w:val="0"/>
      <w:marRight w:val="0"/>
      <w:marTop w:val="0"/>
      <w:marBottom w:val="0"/>
      <w:divBdr>
        <w:top w:val="none" w:sz="0" w:space="0" w:color="auto"/>
        <w:left w:val="none" w:sz="0" w:space="0" w:color="auto"/>
        <w:bottom w:val="none" w:sz="0" w:space="0" w:color="auto"/>
        <w:right w:val="none" w:sz="0" w:space="0" w:color="auto"/>
      </w:divBdr>
    </w:div>
    <w:div w:id="1813980516">
      <w:bodyDiv w:val="1"/>
      <w:marLeft w:val="0"/>
      <w:marRight w:val="0"/>
      <w:marTop w:val="0"/>
      <w:marBottom w:val="0"/>
      <w:divBdr>
        <w:top w:val="none" w:sz="0" w:space="0" w:color="auto"/>
        <w:left w:val="none" w:sz="0" w:space="0" w:color="auto"/>
        <w:bottom w:val="none" w:sz="0" w:space="0" w:color="auto"/>
        <w:right w:val="none" w:sz="0" w:space="0" w:color="auto"/>
      </w:divBdr>
    </w:div>
    <w:div w:id="1970361469">
      <w:bodyDiv w:val="1"/>
      <w:marLeft w:val="0"/>
      <w:marRight w:val="0"/>
      <w:marTop w:val="0"/>
      <w:marBottom w:val="0"/>
      <w:divBdr>
        <w:top w:val="none" w:sz="0" w:space="0" w:color="auto"/>
        <w:left w:val="none" w:sz="0" w:space="0" w:color="auto"/>
        <w:bottom w:val="none" w:sz="0" w:space="0" w:color="auto"/>
        <w:right w:val="none" w:sz="0" w:space="0" w:color="auto"/>
      </w:divBdr>
      <w:divsChild>
        <w:div w:id="1455369149">
          <w:marLeft w:val="274"/>
          <w:marRight w:val="0"/>
          <w:marTop w:val="0"/>
          <w:marBottom w:val="0"/>
          <w:divBdr>
            <w:top w:val="none" w:sz="0" w:space="0" w:color="auto"/>
            <w:left w:val="none" w:sz="0" w:space="0" w:color="auto"/>
            <w:bottom w:val="none" w:sz="0" w:space="0" w:color="auto"/>
            <w:right w:val="none" w:sz="0" w:space="0" w:color="auto"/>
          </w:divBdr>
        </w:div>
      </w:divsChild>
    </w:div>
    <w:div w:id="2012904388">
      <w:bodyDiv w:val="1"/>
      <w:marLeft w:val="0"/>
      <w:marRight w:val="0"/>
      <w:marTop w:val="0"/>
      <w:marBottom w:val="0"/>
      <w:divBdr>
        <w:top w:val="none" w:sz="0" w:space="0" w:color="auto"/>
        <w:left w:val="none" w:sz="0" w:space="0" w:color="auto"/>
        <w:bottom w:val="none" w:sz="0" w:space="0" w:color="auto"/>
        <w:right w:val="none" w:sz="0" w:space="0" w:color="auto"/>
      </w:divBdr>
      <w:divsChild>
        <w:div w:id="856039603">
          <w:marLeft w:val="274"/>
          <w:marRight w:val="0"/>
          <w:marTop w:val="0"/>
          <w:marBottom w:val="0"/>
          <w:divBdr>
            <w:top w:val="none" w:sz="0" w:space="0" w:color="auto"/>
            <w:left w:val="none" w:sz="0" w:space="0" w:color="auto"/>
            <w:bottom w:val="none" w:sz="0" w:space="0" w:color="auto"/>
            <w:right w:val="none" w:sz="0" w:space="0" w:color="auto"/>
          </w:divBdr>
        </w:div>
      </w:divsChild>
    </w:div>
    <w:div w:id="2086998513">
      <w:bodyDiv w:val="1"/>
      <w:marLeft w:val="0"/>
      <w:marRight w:val="0"/>
      <w:marTop w:val="0"/>
      <w:marBottom w:val="0"/>
      <w:divBdr>
        <w:top w:val="none" w:sz="0" w:space="0" w:color="auto"/>
        <w:left w:val="none" w:sz="0" w:space="0" w:color="auto"/>
        <w:bottom w:val="none" w:sz="0" w:space="0" w:color="auto"/>
        <w:right w:val="none" w:sz="0" w:space="0" w:color="auto"/>
      </w:divBdr>
    </w:div>
    <w:div w:id="2129084695">
      <w:bodyDiv w:val="1"/>
      <w:marLeft w:val="0"/>
      <w:marRight w:val="0"/>
      <w:marTop w:val="0"/>
      <w:marBottom w:val="0"/>
      <w:divBdr>
        <w:top w:val="none" w:sz="0" w:space="0" w:color="auto"/>
        <w:left w:val="none" w:sz="0" w:space="0" w:color="auto"/>
        <w:bottom w:val="none" w:sz="0" w:space="0" w:color="auto"/>
        <w:right w:val="none" w:sz="0" w:space="0" w:color="auto"/>
      </w:divBdr>
      <w:divsChild>
        <w:div w:id="195254218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IngredientsPackagingLabeling/PackagingFCS/RegulatoryAuthorityAntimicrobialSubstances/default.htm" TargetMode="External"/><Relationship Id="rId3" Type="http://schemas.openxmlformats.org/officeDocument/2006/relationships/settings" Target="settings.xml"/><Relationship Id="rId7" Type="http://schemas.openxmlformats.org/officeDocument/2006/relationships/hyperlink" Target="https://producesafetyalliance.cornell.edu/sites/producesafetyalliance.cornell.edu/files/shared/documents/Sanitizer-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19/03/18/2019-04652/standards-for-the-growing-harvesting-packing-and-holding-of-produce-for-human-consumption-extension" TargetMode="External"/><Relationship Id="rId5" Type="http://schemas.openxmlformats.org/officeDocument/2006/relationships/hyperlink" Target="https://www.centerforproducesafety.org/amass/documents/researchproject/420/2018%20CPS%20Symposium%20Rivadeneira-FI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10</cp:revision>
  <dcterms:created xsi:type="dcterms:W3CDTF">2019-09-17T18:23:00Z</dcterms:created>
  <dcterms:modified xsi:type="dcterms:W3CDTF">2019-09-27T17:37:00Z</dcterms:modified>
</cp:coreProperties>
</file>