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9C" w:rsidRPr="00042A9C" w:rsidRDefault="00042A9C" w:rsidP="00042A9C">
      <w:pPr>
        <w:spacing w:after="225" w:line="240" w:lineRule="auto"/>
        <w:textAlignment w:val="baseline"/>
        <w:rPr>
          <w:rFonts w:eastAsia="Times New Roman" w:cstheme="minorHAnsi"/>
          <w:b/>
          <w:color w:val="000000"/>
          <w:sz w:val="28"/>
          <w:szCs w:val="28"/>
        </w:rPr>
      </w:pPr>
      <w:r w:rsidRPr="00042A9C">
        <w:rPr>
          <w:rFonts w:eastAsia="Times New Roman" w:cstheme="minorHAnsi"/>
          <w:b/>
          <w:color w:val="000000"/>
          <w:sz w:val="28"/>
          <w:szCs w:val="28"/>
        </w:rPr>
        <w:t>C. Launching the Tenure Review</w:t>
      </w:r>
    </w:p>
    <w:p w:rsidR="00042A9C" w:rsidRPr="00042A9C" w:rsidRDefault="00042A9C" w:rsidP="00042A9C">
      <w:pPr>
        <w:spacing w:after="225" w:line="240" w:lineRule="auto"/>
        <w:textAlignment w:val="baseline"/>
        <w:rPr>
          <w:rFonts w:eastAsia="Times New Roman" w:cstheme="minorHAnsi"/>
          <w:color w:val="000000"/>
        </w:rPr>
      </w:pPr>
      <w:r w:rsidRPr="00042A9C">
        <w:rPr>
          <w:rFonts w:eastAsia="Times New Roman" w:cstheme="minorHAnsi"/>
          <w:color w:val="000000"/>
        </w:rPr>
        <w:t>From the Faculty Handbook: “Permission to initiate a review for tenure must be obtained from the dean, because it commits the college or school to long-term support of the position. When a review for promotion to tenure is conducted, it is required to be thorough and well-documented, since the decision that is made is of far-reaching importance both to the individual and to the university</w:t>
      </w:r>
      <w:proofErr w:type="gramStart"/>
      <w:r w:rsidRPr="00042A9C">
        <w:rPr>
          <w:rFonts w:eastAsia="Times New Roman" w:cstheme="minorHAnsi"/>
          <w:color w:val="000000"/>
        </w:rPr>
        <w:t>. ”</w:t>
      </w:r>
      <w:proofErr w:type="gramEnd"/>
    </w:p>
    <w:p w:rsidR="00042A9C" w:rsidRPr="00042A9C" w:rsidRDefault="00042A9C" w:rsidP="00042A9C">
      <w:pPr>
        <w:spacing w:after="0" w:line="240" w:lineRule="auto"/>
        <w:textAlignment w:val="baseline"/>
        <w:rPr>
          <w:rFonts w:eastAsia="Times New Roman" w:cstheme="minorHAnsi"/>
          <w:color w:val="000000"/>
        </w:rPr>
      </w:pPr>
      <w:hyperlink r:id="rId5" w:history="1">
        <w:r w:rsidRPr="00042A9C">
          <w:rPr>
            <w:rFonts w:eastAsia="Times New Roman" w:cstheme="minorHAnsi"/>
            <w:color w:val="B31B1B"/>
            <w:u w:val="single"/>
            <w:bdr w:val="none" w:sz="0" w:space="0" w:color="auto" w:frame="1"/>
          </w:rPr>
          <w:t>Timing</w:t>
        </w:r>
      </w:hyperlink>
      <w:r w:rsidRPr="00042A9C">
        <w:rPr>
          <w:rFonts w:eastAsia="Times New Roman" w:cstheme="minorHAnsi"/>
          <w:color w:val="000000"/>
        </w:rPr>
        <w:t xml:space="preserve"> (Faculty Handbook)</w:t>
      </w:r>
      <w:r w:rsidRPr="00042A9C">
        <w:rPr>
          <w:rFonts w:eastAsia="Times New Roman" w:cstheme="minorHAnsi"/>
          <w:color w:val="000000"/>
        </w:rPr>
        <w:br/>
      </w:r>
      <w:hyperlink r:id="rId6" w:history="1">
        <w:r w:rsidRPr="00042A9C">
          <w:rPr>
            <w:rFonts w:eastAsia="Times New Roman" w:cstheme="minorHAnsi"/>
            <w:color w:val="B31B1B"/>
            <w:u w:val="single"/>
            <w:bdr w:val="none" w:sz="0" w:space="0" w:color="auto" w:frame="1"/>
          </w:rPr>
          <w:t>Appealing the decision not to initiate a review</w:t>
        </w:r>
      </w:hyperlink>
      <w:r w:rsidRPr="00042A9C">
        <w:rPr>
          <w:rFonts w:eastAsia="Times New Roman" w:cstheme="minorHAnsi"/>
          <w:color w:val="000000"/>
        </w:rPr>
        <w:t xml:space="preserve"> (Faculty Handbook)</w:t>
      </w:r>
      <w:r w:rsidRPr="00042A9C">
        <w:rPr>
          <w:rFonts w:eastAsia="Times New Roman" w:cstheme="minorHAnsi"/>
          <w:color w:val="000000"/>
        </w:rPr>
        <w:br/>
      </w:r>
      <w:hyperlink r:id="rId7" w:history="1">
        <w:r w:rsidRPr="00042A9C">
          <w:rPr>
            <w:rFonts w:eastAsia="Times New Roman" w:cstheme="minorHAnsi"/>
            <w:color w:val="B31B1B"/>
            <w:u w:val="single"/>
            <w:bdr w:val="none" w:sz="0" w:space="0" w:color="auto" w:frame="1"/>
          </w:rPr>
          <w:t>What the Colleges Say</w:t>
        </w:r>
      </w:hyperlink>
    </w:p>
    <w:p w:rsidR="00042A9C" w:rsidRPr="00042A9C" w:rsidRDefault="00042A9C" w:rsidP="00042A9C">
      <w:pPr>
        <w:spacing w:before="45" w:after="225" w:line="240" w:lineRule="auto"/>
        <w:rPr>
          <w:rFonts w:eastAsia="Times New Roman" w:cstheme="minorHAnsi"/>
        </w:rPr>
      </w:pPr>
      <w:r w:rsidRPr="00042A9C">
        <w:rPr>
          <w:rFonts w:eastAsia="Times New Roman" w:cstheme="minorHAnsi"/>
        </w:rPr>
        <w:pict>
          <v:rect id="_x0000_i1025" style="width:0;height:1.5pt" o:hralign="center" o:hrstd="t" o:hrnoshade="t" o:hr="t" fillcolor="black" stroked="f"/>
        </w:pict>
      </w:r>
    </w:p>
    <w:p w:rsidR="00042A9C" w:rsidRDefault="00042A9C" w:rsidP="00042A9C">
      <w:pPr>
        <w:spacing w:after="0" w:line="240" w:lineRule="auto"/>
        <w:textAlignment w:val="baseline"/>
        <w:rPr>
          <w:rFonts w:eastAsia="Times New Roman" w:cstheme="minorHAnsi"/>
          <w:b/>
          <w:bCs/>
          <w:color w:val="000000"/>
          <w:bdr w:val="none" w:sz="0" w:space="0" w:color="auto" w:frame="1"/>
        </w:rPr>
      </w:pPr>
      <w:r w:rsidRPr="00042A9C">
        <w:rPr>
          <w:rFonts w:eastAsia="Times New Roman" w:cstheme="minorHAnsi"/>
          <w:b/>
          <w:bCs/>
          <w:color w:val="000000"/>
          <w:bdr w:val="none" w:sz="0" w:space="0" w:color="auto" w:frame="1"/>
        </w:rPr>
        <w:t>C1. When is a tenure review normally initiated?</w:t>
      </w:r>
    </w:p>
    <w:p w:rsidR="00042A9C" w:rsidRPr="00042A9C" w:rsidRDefault="00042A9C" w:rsidP="00042A9C">
      <w:pPr>
        <w:spacing w:after="0" w:line="240" w:lineRule="auto"/>
        <w:textAlignment w:val="baseline"/>
        <w:rPr>
          <w:rFonts w:eastAsia="Times New Roman" w:cstheme="minorHAnsi"/>
          <w:color w:val="000000"/>
        </w:rPr>
      </w:pPr>
    </w:p>
    <w:p w:rsidR="00042A9C" w:rsidRPr="00042A9C" w:rsidRDefault="00042A9C" w:rsidP="00042A9C">
      <w:pPr>
        <w:spacing w:after="225" w:line="240" w:lineRule="auto"/>
        <w:textAlignment w:val="baseline"/>
        <w:rPr>
          <w:rFonts w:eastAsia="Times New Roman" w:cstheme="minorHAnsi"/>
          <w:color w:val="000000"/>
        </w:rPr>
      </w:pPr>
      <w:r w:rsidRPr="00042A9C">
        <w:rPr>
          <w:rFonts w:eastAsia="Times New Roman" w:cstheme="minorHAnsi"/>
          <w:color w:val="000000"/>
        </w:rPr>
        <w:t>The standard tenure clock at Cornell is six years (except for the Johnson Graduate School of Management, which observes an eight-year clock). Under the six-year clock, the tenure process typically commences with the assembly of a tenure dossier at the end of the fifth year or the beginning of the sixth year. The launch of a tenure review requires Dean approval.</w:t>
      </w:r>
    </w:p>
    <w:p w:rsidR="00042A9C" w:rsidRDefault="00042A9C" w:rsidP="00042A9C">
      <w:pPr>
        <w:spacing w:after="0" w:line="240" w:lineRule="auto"/>
        <w:textAlignment w:val="baseline"/>
        <w:rPr>
          <w:rFonts w:eastAsia="Times New Roman" w:cstheme="minorHAnsi"/>
          <w:b/>
          <w:bCs/>
          <w:color w:val="000000"/>
          <w:bdr w:val="none" w:sz="0" w:space="0" w:color="auto" w:frame="1"/>
        </w:rPr>
      </w:pPr>
      <w:r w:rsidRPr="00042A9C">
        <w:rPr>
          <w:rFonts w:eastAsia="Times New Roman" w:cstheme="minorHAnsi"/>
          <w:b/>
          <w:bCs/>
          <w:color w:val="000000"/>
          <w:bdr w:val="none" w:sz="0" w:space="0" w:color="auto" w:frame="1"/>
        </w:rPr>
        <w:t>C2. What about staging an early review?</w:t>
      </w:r>
    </w:p>
    <w:p w:rsidR="00042A9C" w:rsidRPr="00042A9C" w:rsidRDefault="00042A9C" w:rsidP="00042A9C">
      <w:pPr>
        <w:spacing w:after="0" w:line="240" w:lineRule="auto"/>
        <w:textAlignment w:val="baseline"/>
        <w:rPr>
          <w:rFonts w:eastAsia="Times New Roman" w:cstheme="minorHAnsi"/>
          <w:color w:val="000000"/>
        </w:rPr>
      </w:pPr>
    </w:p>
    <w:p w:rsidR="00042A9C" w:rsidRPr="00042A9C" w:rsidRDefault="00042A9C" w:rsidP="00042A9C">
      <w:pPr>
        <w:spacing w:after="225" w:line="240" w:lineRule="auto"/>
        <w:textAlignment w:val="baseline"/>
        <w:rPr>
          <w:rFonts w:eastAsia="Times New Roman" w:cstheme="minorHAnsi"/>
          <w:color w:val="000000"/>
        </w:rPr>
      </w:pPr>
      <w:r w:rsidRPr="00042A9C">
        <w:rPr>
          <w:rFonts w:eastAsia="Times New Roman" w:cstheme="minorHAnsi"/>
          <w:color w:val="000000"/>
        </w:rPr>
        <w:t>There are a number of circumstances that can prompt a discussion of the normal timelines. The candidate may have an exceptional record and may be actively sought out by other institutions; retention may hinge on the unit being flexible about an early review. Without making any promises, this should be communicated to the candidate with the usual caveat that early promotion typically invites heightened scrutiny during the review process. Specifically, there is no “discounting” of the expectations for tenure simply because the review is early – the candidate must satisfy the same expectations as would be required if the review occurred in the normal time frame. Therefore, an early launch of the review needs to be carefully considered.</w:t>
      </w:r>
    </w:p>
    <w:p w:rsidR="00042A9C" w:rsidRDefault="00042A9C" w:rsidP="00042A9C">
      <w:pPr>
        <w:spacing w:after="0" w:line="240" w:lineRule="auto"/>
        <w:textAlignment w:val="baseline"/>
        <w:rPr>
          <w:rFonts w:eastAsia="Times New Roman" w:cstheme="minorHAnsi"/>
          <w:b/>
          <w:bCs/>
          <w:color w:val="000000"/>
          <w:bdr w:val="none" w:sz="0" w:space="0" w:color="auto" w:frame="1"/>
        </w:rPr>
      </w:pPr>
      <w:r w:rsidRPr="00042A9C">
        <w:rPr>
          <w:rFonts w:eastAsia="Times New Roman" w:cstheme="minorHAnsi"/>
          <w:b/>
          <w:bCs/>
          <w:color w:val="000000"/>
          <w:bdr w:val="none" w:sz="0" w:space="0" w:color="auto" w:frame="1"/>
        </w:rPr>
        <w:t>C3. What about delaying the review?</w:t>
      </w:r>
    </w:p>
    <w:p w:rsidR="00042A9C" w:rsidRPr="00042A9C" w:rsidRDefault="00042A9C" w:rsidP="00042A9C">
      <w:pPr>
        <w:spacing w:after="0" w:line="240" w:lineRule="auto"/>
        <w:textAlignment w:val="baseline"/>
        <w:rPr>
          <w:rFonts w:eastAsia="Times New Roman" w:cstheme="minorHAnsi"/>
          <w:color w:val="000000"/>
        </w:rPr>
      </w:pPr>
    </w:p>
    <w:p w:rsidR="00042A9C" w:rsidRDefault="00042A9C" w:rsidP="00042A9C">
      <w:pPr>
        <w:spacing w:after="0" w:line="240" w:lineRule="auto"/>
        <w:textAlignment w:val="baseline"/>
        <w:rPr>
          <w:rFonts w:eastAsia="Times New Roman" w:cstheme="minorHAnsi"/>
          <w:color w:val="000000"/>
        </w:rPr>
      </w:pPr>
      <w:r w:rsidRPr="00042A9C">
        <w:rPr>
          <w:rFonts w:eastAsia="Times New Roman" w:cstheme="minorHAnsi"/>
          <w:color w:val="000000"/>
        </w:rPr>
        <w:t xml:space="preserve">According to university bylaws, a faculty member may not hold the position of assistant professor for more than the equivalent of six years of full-time service (eight years in the Johnson Graduate School of Management), unless, in the judgment of the provost, a temporary extension is warranted.  Tenure clock extensions are available only in limited circumstances, including family and medical leaves, Cornell Academic Parental Leave (see </w:t>
      </w:r>
      <w:hyperlink r:id="rId8" w:history="1">
        <w:r w:rsidRPr="00042A9C">
          <w:rPr>
            <w:rFonts w:eastAsia="Times New Roman" w:cstheme="minorHAnsi"/>
            <w:color w:val="B31B1B"/>
            <w:u w:val="single"/>
            <w:bdr w:val="none" w:sz="0" w:space="0" w:color="auto" w:frame="1"/>
          </w:rPr>
          <w:t>Policy 6.2.1</w:t>
        </w:r>
      </w:hyperlink>
      <w:r w:rsidRPr="00042A9C">
        <w:rPr>
          <w:rFonts w:eastAsia="Times New Roman" w:cstheme="minorHAnsi"/>
          <w:color w:val="000000"/>
        </w:rPr>
        <w:t xml:space="preserve">, Leaves for Professors and Academic Staff, page 39), some forms of government or public service leaves, and situations where there have been substantial impediments to progress that were not in the faculty member’s control. Clock extensions are </w:t>
      </w:r>
      <w:r w:rsidRPr="00042A9C">
        <w:rPr>
          <w:rFonts w:eastAsia="Times New Roman" w:cstheme="minorHAnsi"/>
          <w:color w:val="000000"/>
          <w:u w:val="single"/>
          <w:bdr w:val="none" w:sz="0" w:space="0" w:color="auto" w:frame="1"/>
        </w:rPr>
        <w:t>not</w:t>
      </w:r>
      <w:r w:rsidRPr="00042A9C">
        <w:rPr>
          <w:rFonts w:eastAsia="Times New Roman" w:cstheme="minorHAnsi"/>
          <w:color w:val="000000"/>
        </w:rPr>
        <w:t xml:space="preserve"> available if the sole basis of the request is that the candidate has not made sufficient progress towards tenure. The dean may request provost approval for tenure clock extensions through the Academic Human Resources Office.</w:t>
      </w:r>
    </w:p>
    <w:p w:rsidR="00042A9C" w:rsidRPr="00042A9C" w:rsidRDefault="00042A9C" w:rsidP="00042A9C">
      <w:pPr>
        <w:spacing w:after="0" w:line="240" w:lineRule="auto"/>
        <w:textAlignment w:val="baseline"/>
        <w:rPr>
          <w:rFonts w:eastAsia="Times New Roman" w:cstheme="minorHAnsi"/>
          <w:color w:val="000000"/>
        </w:rPr>
      </w:pPr>
    </w:p>
    <w:p w:rsidR="00042A9C" w:rsidRDefault="00042A9C" w:rsidP="00042A9C">
      <w:pPr>
        <w:spacing w:after="0" w:line="240" w:lineRule="auto"/>
        <w:textAlignment w:val="baseline"/>
        <w:rPr>
          <w:rFonts w:eastAsia="Times New Roman" w:cstheme="minorHAnsi"/>
          <w:b/>
          <w:bCs/>
          <w:color w:val="000000"/>
          <w:bdr w:val="none" w:sz="0" w:space="0" w:color="auto" w:frame="1"/>
        </w:rPr>
      </w:pPr>
      <w:r w:rsidRPr="00042A9C">
        <w:rPr>
          <w:rFonts w:eastAsia="Times New Roman" w:cstheme="minorHAnsi"/>
          <w:b/>
          <w:bCs/>
          <w:color w:val="000000"/>
          <w:bdr w:val="none" w:sz="0" w:space="0" w:color="auto" w:frame="1"/>
        </w:rPr>
        <w:t>C4. What about discouraging or denying a review?</w:t>
      </w:r>
    </w:p>
    <w:p w:rsidR="00042A9C" w:rsidRPr="00042A9C" w:rsidRDefault="00042A9C" w:rsidP="00042A9C">
      <w:pPr>
        <w:spacing w:after="0" w:line="240" w:lineRule="auto"/>
        <w:textAlignment w:val="baseline"/>
        <w:rPr>
          <w:rFonts w:eastAsia="Times New Roman" w:cstheme="minorHAnsi"/>
          <w:color w:val="000000"/>
        </w:rPr>
      </w:pPr>
    </w:p>
    <w:p w:rsidR="00042A9C" w:rsidRPr="00042A9C" w:rsidRDefault="00042A9C" w:rsidP="00042A9C">
      <w:pPr>
        <w:spacing w:after="225" w:line="240" w:lineRule="auto"/>
        <w:textAlignment w:val="baseline"/>
        <w:rPr>
          <w:rFonts w:eastAsia="Times New Roman" w:cstheme="minorHAnsi"/>
          <w:color w:val="000000"/>
        </w:rPr>
      </w:pPr>
      <w:r w:rsidRPr="00042A9C">
        <w:rPr>
          <w:rFonts w:eastAsia="Times New Roman" w:cstheme="minorHAnsi"/>
          <w:color w:val="000000"/>
        </w:rPr>
        <w:t xml:space="preserve">If they are properly executed, then the collection of annual reviews including the one just prior to the tenure review launch should provide the candidate with some information about the chance for promotion. However, it should always be remembered that the pool of external review letters may lead </w:t>
      </w:r>
      <w:r w:rsidRPr="00042A9C">
        <w:rPr>
          <w:rFonts w:eastAsia="Times New Roman" w:cstheme="minorHAnsi"/>
          <w:color w:val="000000"/>
        </w:rPr>
        <w:lastRenderedPageBreak/>
        <w:t>to an upwards revision of tenured faculty thinking about the candidate’s research. Thus, when talking to the candidate about “chances” the chair must careful not to communicate a level of pessimism that is unsubstantiated. It is expected that the chair will consult with the tenured faculty prior to having the pre-launch discussion with the candidate.</w:t>
      </w:r>
    </w:p>
    <w:p w:rsidR="00042A9C" w:rsidRDefault="00042A9C" w:rsidP="00042A9C">
      <w:pPr>
        <w:spacing w:after="0" w:line="240" w:lineRule="auto"/>
        <w:textAlignment w:val="baseline"/>
        <w:rPr>
          <w:rFonts w:eastAsia="Times New Roman" w:cstheme="minorHAnsi"/>
          <w:color w:val="000000"/>
        </w:rPr>
      </w:pPr>
      <w:r w:rsidRPr="00042A9C">
        <w:rPr>
          <w:rFonts w:eastAsia="Times New Roman" w:cstheme="minorHAnsi"/>
          <w:color w:val="000000"/>
        </w:rPr>
        <w:t xml:space="preserve">It should be noted that the Dean has the authority to deny a review for reasons other than merit. This decision can be </w:t>
      </w:r>
      <w:hyperlink r:id="rId9" w:history="1">
        <w:r w:rsidRPr="00042A9C">
          <w:rPr>
            <w:rFonts w:eastAsia="Times New Roman" w:cstheme="minorHAnsi"/>
            <w:color w:val="B31B1B"/>
            <w:u w:val="single"/>
            <w:bdr w:val="none" w:sz="0" w:space="0" w:color="auto" w:frame="1"/>
          </w:rPr>
          <w:t>appealed</w:t>
        </w:r>
      </w:hyperlink>
      <w:r w:rsidRPr="00042A9C">
        <w:rPr>
          <w:rFonts w:eastAsia="Times New Roman" w:cstheme="minorHAnsi"/>
          <w:color w:val="000000"/>
        </w:rPr>
        <w:t xml:space="preserve"> by the candidate.</w:t>
      </w:r>
    </w:p>
    <w:p w:rsidR="00042A9C" w:rsidRPr="00042A9C" w:rsidRDefault="00042A9C" w:rsidP="00042A9C">
      <w:pPr>
        <w:spacing w:after="0" w:line="240" w:lineRule="auto"/>
        <w:textAlignment w:val="baseline"/>
        <w:rPr>
          <w:rFonts w:eastAsia="Times New Roman" w:cstheme="minorHAnsi"/>
          <w:color w:val="000000"/>
        </w:rPr>
      </w:pPr>
    </w:p>
    <w:p w:rsidR="00042A9C" w:rsidRDefault="00042A9C" w:rsidP="00042A9C">
      <w:pPr>
        <w:spacing w:after="0" w:line="240" w:lineRule="auto"/>
        <w:textAlignment w:val="baseline"/>
        <w:outlineLvl w:val="2"/>
        <w:rPr>
          <w:rFonts w:eastAsia="Times New Roman" w:cstheme="minorHAnsi"/>
          <w:b/>
          <w:bCs/>
          <w:color w:val="000000"/>
          <w:bdr w:val="none" w:sz="0" w:space="0" w:color="auto" w:frame="1"/>
        </w:rPr>
      </w:pPr>
      <w:r w:rsidRPr="00042A9C">
        <w:rPr>
          <w:rFonts w:eastAsia="Times New Roman" w:cstheme="minorHAnsi"/>
          <w:b/>
          <w:bCs/>
          <w:color w:val="000000"/>
          <w:bdr w:val="none" w:sz="0" w:space="0" w:color="auto" w:frame="1"/>
        </w:rPr>
        <w:t>Candidate-Supplied Documents</w:t>
      </w:r>
    </w:p>
    <w:p w:rsidR="00042A9C" w:rsidRPr="00042A9C" w:rsidRDefault="00042A9C" w:rsidP="00042A9C">
      <w:pPr>
        <w:spacing w:after="0" w:line="240" w:lineRule="auto"/>
        <w:textAlignment w:val="baseline"/>
        <w:outlineLvl w:val="2"/>
        <w:rPr>
          <w:rFonts w:eastAsia="Times New Roman" w:cstheme="minorHAnsi"/>
          <w:color w:val="000000"/>
        </w:rPr>
      </w:pPr>
    </w:p>
    <w:p w:rsidR="00042A9C" w:rsidRDefault="00042A9C" w:rsidP="00042A9C">
      <w:pPr>
        <w:spacing w:after="0" w:line="240" w:lineRule="auto"/>
        <w:textAlignment w:val="baseline"/>
        <w:rPr>
          <w:rFonts w:eastAsia="Times New Roman" w:cstheme="minorHAnsi"/>
          <w:color w:val="000000"/>
        </w:rPr>
      </w:pPr>
      <w:r w:rsidRPr="00042A9C">
        <w:rPr>
          <w:rFonts w:eastAsia="Times New Roman" w:cstheme="minorHAnsi"/>
          <w:color w:val="000000"/>
        </w:rPr>
        <w:t xml:space="preserve">Candidates are in charge of certain aspects of the dossier, typically the CV, the research statement, the teaching statement, a list of possible external reviewers, and a no-contact list. The candidate should work hard to make it easy for the reader to assess their accomplishments. A well-organized website with carefully chosen links can be very useful. It is a good idea to be aware of the  </w:t>
      </w:r>
      <w:hyperlink r:id="rId10" w:history="1">
        <w:r w:rsidRPr="00042A9C">
          <w:rPr>
            <w:rFonts w:eastAsia="Times New Roman" w:cstheme="minorHAnsi"/>
            <w:color w:val="B31B1B"/>
            <w:u w:val="single"/>
            <w:bdr w:val="none" w:sz="0" w:space="0" w:color="auto" w:frame="1"/>
          </w:rPr>
          <w:t>FACTA Dossier Checklist</w:t>
        </w:r>
      </w:hyperlink>
      <w:r w:rsidRPr="00042A9C">
        <w:rPr>
          <w:rFonts w:eastAsia="Times New Roman" w:cstheme="minorHAnsi"/>
          <w:color w:val="000000"/>
        </w:rPr>
        <w:t xml:space="preserve"> at the very start of the review process. </w:t>
      </w:r>
      <w:hyperlink r:id="rId11" w:history="1">
        <w:r w:rsidRPr="00042A9C">
          <w:rPr>
            <w:rFonts w:eastAsia="Times New Roman" w:cstheme="minorHAnsi"/>
            <w:color w:val="B31B1B"/>
            <w:u w:val="single"/>
            <w:bdr w:val="none" w:sz="0" w:space="0" w:color="auto" w:frame="1"/>
          </w:rPr>
          <w:t>What the Colleges have to say about the candidate’s statements and CV.</w:t>
        </w:r>
      </w:hyperlink>
    </w:p>
    <w:p w:rsidR="00042A9C" w:rsidRPr="00042A9C" w:rsidRDefault="00042A9C" w:rsidP="00042A9C">
      <w:pPr>
        <w:spacing w:after="0" w:line="240" w:lineRule="auto"/>
        <w:textAlignment w:val="baseline"/>
        <w:rPr>
          <w:rFonts w:eastAsia="Times New Roman" w:cstheme="minorHAnsi"/>
          <w:color w:val="000000"/>
        </w:rPr>
      </w:pPr>
    </w:p>
    <w:p w:rsidR="00042A9C" w:rsidRDefault="00042A9C" w:rsidP="00042A9C">
      <w:pPr>
        <w:spacing w:after="0" w:line="240" w:lineRule="auto"/>
        <w:textAlignment w:val="baseline"/>
        <w:rPr>
          <w:rFonts w:eastAsia="Times New Roman" w:cstheme="minorHAnsi"/>
          <w:b/>
          <w:bCs/>
          <w:color w:val="000000"/>
          <w:bdr w:val="none" w:sz="0" w:space="0" w:color="auto" w:frame="1"/>
        </w:rPr>
      </w:pPr>
      <w:r w:rsidRPr="00042A9C">
        <w:rPr>
          <w:rFonts w:eastAsia="Times New Roman" w:cstheme="minorHAnsi"/>
          <w:b/>
          <w:bCs/>
          <w:color w:val="000000"/>
          <w:bdr w:val="none" w:sz="0" w:space="0" w:color="auto" w:frame="1"/>
        </w:rPr>
        <w:t>C5. What should the CV include?</w:t>
      </w:r>
    </w:p>
    <w:p w:rsidR="00042A9C" w:rsidRPr="00042A9C" w:rsidRDefault="00042A9C" w:rsidP="00042A9C">
      <w:pPr>
        <w:spacing w:after="0" w:line="240" w:lineRule="auto"/>
        <w:textAlignment w:val="baseline"/>
        <w:rPr>
          <w:rFonts w:eastAsia="Times New Roman" w:cstheme="minorHAnsi"/>
          <w:color w:val="000000"/>
        </w:rPr>
      </w:pPr>
    </w:p>
    <w:p w:rsidR="00042A9C" w:rsidRPr="00042A9C" w:rsidRDefault="00042A9C" w:rsidP="00042A9C">
      <w:pPr>
        <w:spacing w:after="225" w:line="240" w:lineRule="auto"/>
        <w:textAlignment w:val="baseline"/>
        <w:rPr>
          <w:rFonts w:eastAsia="Times New Roman" w:cstheme="minorHAnsi"/>
          <w:color w:val="000000"/>
        </w:rPr>
      </w:pPr>
      <w:r w:rsidRPr="00042A9C">
        <w:rPr>
          <w:rFonts w:eastAsia="Times New Roman" w:cstheme="minorHAnsi"/>
          <w:color w:val="000000"/>
        </w:rPr>
        <w:t xml:space="preserve">The candidate should approach the CV content and format decisions in consultation with their Chair and mentor. Obvious for consideration are (a) academic degrees and dates, (b) previous academic appointments, (c) publications suitably classified, (d) funded grant proposals, (e) presentations and talks, (f) awards, (g) courses taught by semester including enrollments, and (h) students formally supervised in a </w:t>
      </w:r>
      <w:proofErr w:type="gramStart"/>
      <w:r w:rsidRPr="00042A9C">
        <w:rPr>
          <w:rFonts w:eastAsia="Times New Roman" w:cstheme="minorHAnsi"/>
          <w:color w:val="000000"/>
        </w:rPr>
        <w:t>research  or</w:t>
      </w:r>
      <w:proofErr w:type="gramEnd"/>
      <w:r w:rsidRPr="00042A9C">
        <w:rPr>
          <w:rFonts w:eastAsia="Times New Roman" w:cstheme="minorHAnsi"/>
          <w:color w:val="000000"/>
        </w:rPr>
        <w:t xml:space="preserve"> project capacity (undergraduate, masters, doctoral).</w:t>
      </w:r>
    </w:p>
    <w:p w:rsidR="00042A9C" w:rsidRDefault="00042A9C" w:rsidP="00042A9C">
      <w:pPr>
        <w:spacing w:after="0" w:line="240" w:lineRule="auto"/>
        <w:textAlignment w:val="baseline"/>
        <w:rPr>
          <w:rFonts w:eastAsia="Times New Roman" w:cstheme="minorHAnsi"/>
          <w:b/>
          <w:bCs/>
          <w:color w:val="000000"/>
          <w:bdr w:val="none" w:sz="0" w:space="0" w:color="auto" w:frame="1"/>
        </w:rPr>
      </w:pPr>
      <w:r w:rsidRPr="00042A9C">
        <w:rPr>
          <w:rFonts w:eastAsia="Times New Roman" w:cstheme="minorHAnsi"/>
          <w:b/>
          <w:bCs/>
          <w:color w:val="000000"/>
          <w:bdr w:val="none" w:sz="0" w:space="0" w:color="auto" w:frame="1"/>
        </w:rPr>
        <w:t>C6. What are some guidelines for writing a good research statement?</w:t>
      </w:r>
    </w:p>
    <w:p w:rsidR="00042A9C" w:rsidRPr="00042A9C" w:rsidRDefault="00042A9C" w:rsidP="00042A9C">
      <w:pPr>
        <w:spacing w:after="0" w:line="240" w:lineRule="auto"/>
        <w:textAlignment w:val="baseline"/>
        <w:rPr>
          <w:rFonts w:eastAsia="Times New Roman" w:cstheme="minorHAnsi"/>
          <w:color w:val="000000"/>
        </w:rPr>
      </w:pPr>
    </w:p>
    <w:p w:rsidR="00042A9C" w:rsidRPr="00042A9C" w:rsidRDefault="00042A9C" w:rsidP="00042A9C">
      <w:pPr>
        <w:spacing w:after="225" w:line="240" w:lineRule="auto"/>
        <w:textAlignment w:val="baseline"/>
        <w:rPr>
          <w:rFonts w:eastAsia="Times New Roman" w:cstheme="minorHAnsi"/>
          <w:color w:val="000000"/>
        </w:rPr>
      </w:pPr>
      <w:r w:rsidRPr="00042A9C">
        <w:rPr>
          <w:rFonts w:eastAsia="Times New Roman" w:cstheme="minorHAnsi"/>
          <w:color w:val="000000"/>
        </w:rPr>
        <w:t>The basic idea is to write in plain English and show that your work has direction and that you have thought about its connection to the “big picture” in your field. That is, you should:</w:t>
      </w:r>
    </w:p>
    <w:p w:rsidR="00042A9C" w:rsidRPr="00042A9C" w:rsidRDefault="00042A9C" w:rsidP="00042A9C">
      <w:pPr>
        <w:numPr>
          <w:ilvl w:val="0"/>
          <w:numId w:val="1"/>
        </w:numPr>
        <w:spacing w:after="225" w:line="240" w:lineRule="auto"/>
        <w:ind w:left="540"/>
        <w:textAlignment w:val="baseline"/>
        <w:rPr>
          <w:rFonts w:eastAsia="Times New Roman" w:cstheme="minorHAnsi"/>
          <w:color w:val="000000"/>
        </w:rPr>
      </w:pPr>
      <w:r w:rsidRPr="00042A9C">
        <w:rPr>
          <w:rFonts w:eastAsia="Times New Roman" w:cstheme="minorHAnsi"/>
          <w:color w:val="000000"/>
        </w:rPr>
        <w:t>Write for the general academic reader rather than simply the experts in your precise field.</w:t>
      </w:r>
    </w:p>
    <w:p w:rsidR="00042A9C" w:rsidRPr="00042A9C" w:rsidRDefault="00042A9C" w:rsidP="00042A9C">
      <w:pPr>
        <w:numPr>
          <w:ilvl w:val="0"/>
          <w:numId w:val="1"/>
        </w:numPr>
        <w:spacing w:after="225" w:line="240" w:lineRule="auto"/>
        <w:ind w:left="540"/>
        <w:textAlignment w:val="baseline"/>
        <w:rPr>
          <w:rFonts w:eastAsia="Times New Roman" w:cstheme="minorHAnsi"/>
          <w:color w:val="000000"/>
        </w:rPr>
      </w:pPr>
      <w:r w:rsidRPr="00042A9C">
        <w:rPr>
          <w:rFonts w:eastAsia="Times New Roman" w:cstheme="minorHAnsi"/>
          <w:color w:val="000000"/>
        </w:rPr>
        <w:t>Highlight your most important work and its connection to the major research themes in your field.</w:t>
      </w:r>
    </w:p>
    <w:p w:rsidR="00042A9C" w:rsidRPr="00042A9C" w:rsidRDefault="00042A9C" w:rsidP="00042A9C">
      <w:pPr>
        <w:numPr>
          <w:ilvl w:val="0"/>
          <w:numId w:val="1"/>
        </w:numPr>
        <w:spacing w:after="225" w:line="240" w:lineRule="auto"/>
        <w:ind w:left="540"/>
        <w:textAlignment w:val="baseline"/>
        <w:rPr>
          <w:rFonts w:eastAsia="Times New Roman" w:cstheme="minorHAnsi"/>
          <w:color w:val="000000"/>
        </w:rPr>
      </w:pPr>
      <w:r w:rsidRPr="00042A9C">
        <w:rPr>
          <w:rFonts w:eastAsia="Times New Roman" w:cstheme="minorHAnsi"/>
          <w:color w:val="000000"/>
        </w:rPr>
        <w:t>Tell a story that reveals a positive trajectory and which makes “future plans” plausible.</w:t>
      </w:r>
    </w:p>
    <w:p w:rsidR="00042A9C" w:rsidRPr="00042A9C" w:rsidRDefault="00042A9C" w:rsidP="00042A9C">
      <w:pPr>
        <w:spacing w:after="225" w:line="240" w:lineRule="auto"/>
        <w:textAlignment w:val="baseline"/>
        <w:rPr>
          <w:rFonts w:eastAsia="Times New Roman" w:cstheme="minorHAnsi"/>
          <w:color w:val="000000"/>
        </w:rPr>
      </w:pPr>
      <w:r w:rsidRPr="00042A9C">
        <w:rPr>
          <w:rFonts w:eastAsia="Times New Roman" w:cstheme="minorHAnsi"/>
          <w:color w:val="000000"/>
        </w:rPr>
        <w:t>Sometimes there is merit in discussing unfunded proposals.</w:t>
      </w:r>
    </w:p>
    <w:p w:rsidR="00042A9C" w:rsidRDefault="00042A9C" w:rsidP="00042A9C">
      <w:pPr>
        <w:spacing w:after="0" w:line="240" w:lineRule="auto"/>
        <w:textAlignment w:val="baseline"/>
        <w:rPr>
          <w:rFonts w:eastAsia="Times New Roman" w:cstheme="minorHAnsi"/>
          <w:b/>
          <w:bCs/>
          <w:color w:val="000000"/>
          <w:bdr w:val="none" w:sz="0" w:space="0" w:color="auto" w:frame="1"/>
        </w:rPr>
      </w:pPr>
      <w:r w:rsidRPr="00042A9C">
        <w:rPr>
          <w:rFonts w:eastAsia="Times New Roman" w:cstheme="minorHAnsi"/>
          <w:b/>
          <w:bCs/>
          <w:color w:val="000000"/>
          <w:bdr w:val="none" w:sz="0" w:space="0" w:color="auto" w:frame="1"/>
        </w:rPr>
        <w:t>C7. What are the attributes of a good teaching statement?</w:t>
      </w:r>
    </w:p>
    <w:p w:rsidR="00042A9C" w:rsidRPr="00042A9C" w:rsidRDefault="00042A9C" w:rsidP="00042A9C">
      <w:pPr>
        <w:spacing w:after="0" w:line="240" w:lineRule="auto"/>
        <w:textAlignment w:val="baseline"/>
        <w:rPr>
          <w:rFonts w:eastAsia="Times New Roman" w:cstheme="minorHAnsi"/>
          <w:color w:val="000000"/>
        </w:rPr>
      </w:pPr>
    </w:p>
    <w:p w:rsidR="00042A9C" w:rsidRPr="00042A9C" w:rsidRDefault="00042A9C" w:rsidP="00042A9C">
      <w:pPr>
        <w:spacing w:after="225" w:line="240" w:lineRule="auto"/>
        <w:textAlignment w:val="baseline"/>
        <w:rPr>
          <w:rFonts w:eastAsia="Times New Roman" w:cstheme="minorHAnsi"/>
          <w:color w:val="000000"/>
        </w:rPr>
      </w:pPr>
      <w:r w:rsidRPr="00042A9C">
        <w:rPr>
          <w:rFonts w:eastAsia="Times New Roman" w:cstheme="minorHAnsi"/>
          <w:color w:val="000000"/>
        </w:rPr>
        <w:t>As appropriate, the teaching statement should discuss:</w:t>
      </w:r>
    </w:p>
    <w:p w:rsidR="00042A9C" w:rsidRPr="00042A9C" w:rsidRDefault="00042A9C" w:rsidP="00042A9C">
      <w:pPr>
        <w:numPr>
          <w:ilvl w:val="0"/>
          <w:numId w:val="2"/>
        </w:numPr>
        <w:spacing w:after="225" w:line="240" w:lineRule="auto"/>
        <w:ind w:left="540"/>
        <w:textAlignment w:val="baseline"/>
        <w:rPr>
          <w:rFonts w:eastAsia="Times New Roman" w:cstheme="minorHAnsi"/>
          <w:color w:val="000000"/>
        </w:rPr>
      </w:pPr>
      <w:r w:rsidRPr="00042A9C">
        <w:rPr>
          <w:rFonts w:eastAsia="Times New Roman" w:cstheme="minorHAnsi"/>
          <w:color w:val="000000"/>
        </w:rPr>
        <w:t>Teaching philosophy.</w:t>
      </w:r>
    </w:p>
    <w:p w:rsidR="00042A9C" w:rsidRPr="00042A9C" w:rsidRDefault="00042A9C" w:rsidP="00042A9C">
      <w:pPr>
        <w:numPr>
          <w:ilvl w:val="0"/>
          <w:numId w:val="2"/>
        </w:numPr>
        <w:spacing w:after="225" w:line="240" w:lineRule="auto"/>
        <w:ind w:left="540"/>
        <w:textAlignment w:val="baseline"/>
        <w:rPr>
          <w:rFonts w:eastAsia="Times New Roman" w:cstheme="minorHAnsi"/>
          <w:color w:val="000000"/>
        </w:rPr>
      </w:pPr>
      <w:r w:rsidRPr="00042A9C">
        <w:rPr>
          <w:rFonts w:eastAsia="Times New Roman" w:cstheme="minorHAnsi"/>
          <w:color w:val="000000"/>
        </w:rPr>
        <w:t>Modifications made to existing courses.</w:t>
      </w:r>
    </w:p>
    <w:p w:rsidR="00042A9C" w:rsidRPr="00042A9C" w:rsidRDefault="00042A9C" w:rsidP="00042A9C">
      <w:pPr>
        <w:numPr>
          <w:ilvl w:val="0"/>
          <w:numId w:val="2"/>
        </w:numPr>
        <w:spacing w:after="225" w:line="240" w:lineRule="auto"/>
        <w:ind w:left="540"/>
        <w:textAlignment w:val="baseline"/>
        <w:rPr>
          <w:rFonts w:eastAsia="Times New Roman" w:cstheme="minorHAnsi"/>
          <w:color w:val="000000"/>
        </w:rPr>
      </w:pPr>
      <w:r w:rsidRPr="00042A9C">
        <w:rPr>
          <w:rFonts w:eastAsia="Times New Roman" w:cstheme="minorHAnsi"/>
          <w:color w:val="000000"/>
        </w:rPr>
        <w:t>New courses developed and the rationale for developing them.</w:t>
      </w:r>
    </w:p>
    <w:p w:rsidR="00042A9C" w:rsidRPr="00042A9C" w:rsidRDefault="00042A9C" w:rsidP="00042A9C">
      <w:pPr>
        <w:numPr>
          <w:ilvl w:val="0"/>
          <w:numId w:val="2"/>
        </w:numPr>
        <w:spacing w:after="225" w:line="240" w:lineRule="auto"/>
        <w:ind w:left="540"/>
        <w:textAlignment w:val="baseline"/>
        <w:rPr>
          <w:rFonts w:eastAsia="Times New Roman" w:cstheme="minorHAnsi"/>
          <w:color w:val="000000"/>
        </w:rPr>
      </w:pPr>
      <w:r w:rsidRPr="00042A9C">
        <w:rPr>
          <w:rFonts w:eastAsia="Times New Roman" w:cstheme="minorHAnsi"/>
          <w:color w:val="000000"/>
        </w:rPr>
        <w:t>Approaches to graduate student seminars.</w:t>
      </w:r>
    </w:p>
    <w:p w:rsidR="00042A9C" w:rsidRPr="00042A9C" w:rsidRDefault="00042A9C" w:rsidP="00042A9C">
      <w:pPr>
        <w:numPr>
          <w:ilvl w:val="0"/>
          <w:numId w:val="2"/>
        </w:numPr>
        <w:spacing w:after="225" w:line="240" w:lineRule="auto"/>
        <w:ind w:left="540"/>
        <w:textAlignment w:val="baseline"/>
        <w:rPr>
          <w:rFonts w:eastAsia="Times New Roman" w:cstheme="minorHAnsi"/>
          <w:color w:val="000000"/>
        </w:rPr>
      </w:pPr>
      <w:r w:rsidRPr="00042A9C">
        <w:rPr>
          <w:rFonts w:eastAsia="Times New Roman" w:cstheme="minorHAnsi"/>
          <w:color w:val="000000"/>
        </w:rPr>
        <w:lastRenderedPageBreak/>
        <w:t>Expository/outreach writings.</w:t>
      </w:r>
    </w:p>
    <w:p w:rsidR="00042A9C" w:rsidRPr="00042A9C" w:rsidRDefault="00042A9C" w:rsidP="00042A9C">
      <w:pPr>
        <w:numPr>
          <w:ilvl w:val="0"/>
          <w:numId w:val="2"/>
        </w:numPr>
        <w:spacing w:after="225" w:line="240" w:lineRule="auto"/>
        <w:ind w:left="540"/>
        <w:textAlignment w:val="baseline"/>
        <w:rPr>
          <w:rFonts w:eastAsia="Times New Roman" w:cstheme="minorHAnsi"/>
          <w:color w:val="000000"/>
        </w:rPr>
      </w:pPr>
      <w:r w:rsidRPr="00042A9C">
        <w:rPr>
          <w:rFonts w:eastAsia="Times New Roman" w:cstheme="minorHAnsi"/>
          <w:color w:val="000000"/>
        </w:rPr>
        <w:t>Management of teaching assistants, when applicable.</w:t>
      </w:r>
    </w:p>
    <w:p w:rsidR="00042A9C" w:rsidRDefault="00042A9C" w:rsidP="00042A9C">
      <w:pPr>
        <w:spacing w:after="0" w:line="240" w:lineRule="auto"/>
        <w:textAlignment w:val="baseline"/>
        <w:rPr>
          <w:rFonts w:eastAsia="Times New Roman" w:cstheme="minorHAnsi"/>
          <w:b/>
          <w:bCs/>
          <w:color w:val="000000"/>
          <w:bdr w:val="none" w:sz="0" w:space="0" w:color="auto" w:frame="1"/>
        </w:rPr>
      </w:pPr>
      <w:r w:rsidRPr="00042A9C">
        <w:rPr>
          <w:rFonts w:eastAsia="Times New Roman" w:cstheme="minorHAnsi"/>
          <w:b/>
          <w:bCs/>
          <w:color w:val="000000"/>
          <w:bdr w:val="none" w:sz="0" w:space="0" w:color="auto" w:frame="1"/>
        </w:rPr>
        <w:t>C8. What are the attributes of a good extension statement?</w:t>
      </w:r>
    </w:p>
    <w:p w:rsidR="00042A9C" w:rsidRPr="00042A9C" w:rsidRDefault="00042A9C" w:rsidP="00042A9C">
      <w:pPr>
        <w:spacing w:after="0" w:line="240" w:lineRule="auto"/>
        <w:textAlignment w:val="baseline"/>
        <w:rPr>
          <w:rFonts w:eastAsia="Times New Roman" w:cstheme="minorHAnsi"/>
          <w:color w:val="000000"/>
        </w:rPr>
      </w:pPr>
    </w:p>
    <w:p w:rsidR="00042A9C" w:rsidRPr="00042A9C" w:rsidRDefault="00042A9C" w:rsidP="00042A9C">
      <w:pPr>
        <w:spacing w:after="225" w:line="240" w:lineRule="auto"/>
        <w:textAlignment w:val="baseline"/>
        <w:rPr>
          <w:rFonts w:eastAsia="Times New Roman" w:cstheme="minorHAnsi"/>
          <w:color w:val="000000"/>
        </w:rPr>
      </w:pPr>
      <w:r w:rsidRPr="00042A9C">
        <w:rPr>
          <w:rFonts w:eastAsia="Times New Roman" w:cstheme="minorHAnsi"/>
          <w:color w:val="000000"/>
        </w:rPr>
        <w:t>As appropriate, the extension statement should discuss</w:t>
      </w:r>
    </w:p>
    <w:p w:rsidR="00042A9C" w:rsidRPr="00042A9C" w:rsidRDefault="00042A9C" w:rsidP="00042A9C">
      <w:pPr>
        <w:numPr>
          <w:ilvl w:val="0"/>
          <w:numId w:val="3"/>
        </w:numPr>
        <w:spacing w:after="225" w:line="240" w:lineRule="auto"/>
        <w:ind w:left="540"/>
        <w:textAlignment w:val="baseline"/>
        <w:rPr>
          <w:rFonts w:eastAsia="Times New Roman" w:cstheme="minorHAnsi"/>
          <w:color w:val="000000"/>
        </w:rPr>
      </w:pPr>
      <w:r w:rsidRPr="00042A9C">
        <w:rPr>
          <w:rFonts w:eastAsia="Times New Roman" w:cstheme="minorHAnsi"/>
          <w:color w:val="000000"/>
        </w:rPr>
        <w:t>Goals, accomplishments, and methodology.</w:t>
      </w:r>
    </w:p>
    <w:p w:rsidR="00042A9C" w:rsidRPr="00042A9C" w:rsidRDefault="00042A9C" w:rsidP="00042A9C">
      <w:pPr>
        <w:numPr>
          <w:ilvl w:val="0"/>
          <w:numId w:val="3"/>
        </w:numPr>
        <w:spacing w:after="225" w:line="240" w:lineRule="auto"/>
        <w:ind w:left="540"/>
        <w:textAlignment w:val="baseline"/>
        <w:rPr>
          <w:rFonts w:eastAsia="Times New Roman" w:cstheme="minorHAnsi"/>
          <w:color w:val="000000"/>
        </w:rPr>
      </w:pPr>
      <w:r w:rsidRPr="00042A9C">
        <w:rPr>
          <w:rFonts w:eastAsia="Times New Roman" w:cstheme="minorHAnsi"/>
          <w:color w:val="000000"/>
        </w:rPr>
        <w:t>Specific types of activities including in-service education.</w:t>
      </w:r>
    </w:p>
    <w:p w:rsidR="00042A9C" w:rsidRPr="00042A9C" w:rsidRDefault="00042A9C" w:rsidP="00042A9C">
      <w:pPr>
        <w:numPr>
          <w:ilvl w:val="0"/>
          <w:numId w:val="3"/>
        </w:numPr>
        <w:spacing w:after="225" w:line="240" w:lineRule="auto"/>
        <w:ind w:left="540"/>
        <w:textAlignment w:val="baseline"/>
        <w:rPr>
          <w:rFonts w:eastAsia="Times New Roman" w:cstheme="minorHAnsi"/>
          <w:color w:val="000000"/>
        </w:rPr>
      </w:pPr>
      <w:r w:rsidRPr="00042A9C">
        <w:rPr>
          <w:rFonts w:eastAsia="Times New Roman" w:cstheme="minorHAnsi"/>
          <w:color w:val="000000"/>
        </w:rPr>
        <w:t>Extension-related publications and other examples of scholarship.</w:t>
      </w:r>
    </w:p>
    <w:p w:rsidR="00042A9C" w:rsidRPr="00042A9C" w:rsidRDefault="00042A9C" w:rsidP="00042A9C">
      <w:pPr>
        <w:numPr>
          <w:ilvl w:val="0"/>
          <w:numId w:val="3"/>
        </w:numPr>
        <w:spacing w:after="225" w:line="240" w:lineRule="auto"/>
        <w:ind w:left="540"/>
        <w:textAlignment w:val="baseline"/>
        <w:rPr>
          <w:rFonts w:eastAsia="Times New Roman" w:cstheme="minorHAnsi"/>
          <w:color w:val="000000"/>
        </w:rPr>
      </w:pPr>
      <w:r w:rsidRPr="00042A9C">
        <w:rPr>
          <w:rFonts w:eastAsia="Times New Roman" w:cstheme="minorHAnsi"/>
          <w:color w:val="000000"/>
        </w:rPr>
        <w:t>Unique and creative aspects of the extension program.</w:t>
      </w:r>
    </w:p>
    <w:p w:rsidR="00042A9C" w:rsidRPr="00042A9C" w:rsidRDefault="00042A9C" w:rsidP="00042A9C">
      <w:pPr>
        <w:numPr>
          <w:ilvl w:val="0"/>
          <w:numId w:val="3"/>
        </w:numPr>
        <w:spacing w:after="225" w:line="240" w:lineRule="auto"/>
        <w:ind w:left="540"/>
        <w:textAlignment w:val="baseline"/>
        <w:rPr>
          <w:rFonts w:eastAsia="Times New Roman" w:cstheme="minorHAnsi"/>
          <w:color w:val="000000"/>
        </w:rPr>
      </w:pPr>
      <w:r w:rsidRPr="00042A9C">
        <w:rPr>
          <w:rFonts w:eastAsia="Times New Roman" w:cstheme="minorHAnsi"/>
          <w:color w:val="000000"/>
        </w:rPr>
        <w:t>Administrative and leadership responsibilities that relate to the extension effort.</w:t>
      </w:r>
    </w:p>
    <w:p w:rsidR="00042A9C" w:rsidRDefault="00042A9C" w:rsidP="00042A9C">
      <w:pPr>
        <w:spacing w:after="0" w:line="240" w:lineRule="auto"/>
        <w:textAlignment w:val="baseline"/>
        <w:rPr>
          <w:rFonts w:eastAsia="Times New Roman" w:cstheme="minorHAnsi"/>
          <w:b/>
          <w:bCs/>
          <w:color w:val="000000"/>
          <w:bdr w:val="none" w:sz="0" w:space="0" w:color="auto" w:frame="1"/>
        </w:rPr>
      </w:pPr>
      <w:r w:rsidRPr="00042A9C">
        <w:rPr>
          <w:rFonts w:eastAsia="Times New Roman" w:cstheme="minorHAnsi"/>
          <w:b/>
          <w:bCs/>
          <w:color w:val="000000"/>
          <w:bdr w:val="none" w:sz="0" w:space="0" w:color="auto" w:frame="1"/>
        </w:rPr>
        <w:t>C9. How should service and external engagement contributions be documented?</w:t>
      </w:r>
    </w:p>
    <w:p w:rsidR="00042A9C" w:rsidRPr="00042A9C" w:rsidRDefault="00042A9C" w:rsidP="00042A9C">
      <w:pPr>
        <w:spacing w:after="0" w:line="240" w:lineRule="auto"/>
        <w:textAlignment w:val="baseline"/>
        <w:rPr>
          <w:rFonts w:eastAsia="Times New Roman" w:cstheme="minorHAnsi"/>
          <w:color w:val="000000"/>
        </w:rPr>
      </w:pPr>
    </w:p>
    <w:p w:rsidR="00042A9C" w:rsidRPr="00042A9C" w:rsidRDefault="00042A9C" w:rsidP="00042A9C">
      <w:pPr>
        <w:spacing w:after="225" w:line="240" w:lineRule="auto"/>
        <w:textAlignment w:val="baseline"/>
        <w:rPr>
          <w:rFonts w:eastAsia="Times New Roman" w:cstheme="minorHAnsi"/>
          <w:color w:val="000000"/>
        </w:rPr>
      </w:pPr>
      <w:r w:rsidRPr="00042A9C">
        <w:rPr>
          <w:rFonts w:eastAsia="Times New Roman" w:cstheme="minorHAnsi"/>
          <w:color w:val="000000"/>
        </w:rPr>
        <w:t>Service divides neatly into campus-related activity and professional society activity. The following should be documented</w:t>
      </w:r>
    </w:p>
    <w:p w:rsidR="00042A9C" w:rsidRPr="00042A9C" w:rsidRDefault="00042A9C" w:rsidP="00042A9C">
      <w:pPr>
        <w:numPr>
          <w:ilvl w:val="0"/>
          <w:numId w:val="4"/>
        </w:numPr>
        <w:spacing w:after="225" w:line="240" w:lineRule="auto"/>
        <w:ind w:left="540"/>
        <w:textAlignment w:val="baseline"/>
        <w:rPr>
          <w:rFonts w:eastAsia="Times New Roman" w:cstheme="minorHAnsi"/>
          <w:color w:val="000000"/>
        </w:rPr>
      </w:pPr>
      <w:r w:rsidRPr="00042A9C">
        <w:rPr>
          <w:rFonts w:eastAsia="Times New Roman" w:cstheme="minorHAnsi"/>
          <w:color w:val="000000"/>
        </w:rPr>
        <w:t>Committee participation at the department, college, and university level.</w:t>
      </w:r>
    </w:p>
    <w:p w:rsidR="00042A9C" w:rsidRPr="00042A9C" w:rsidRDefault="00042A9C" w:rsidP="00042A9C">
      <w:pPr>
        <w:numPr>
          <w:ilvl w:val="0"/>
          <w:numId w:val="4"/>
        </w:numPr>
        <w:spacing w:after="225" w:line="240" w:lineRule="auto"/>
        <w:ind w:left="540"/>
        <w:textAlignment w:val="baseline"/>
        <w:rPr>
          <w:rFonts w:eastAsia="Times New Roman" w:cstheme="minorHAnsi"/>
          <w:color w:val="000000"/>
        </w:rPr>
      </w:pPr>
      <w:r w:rsidRPr="00042A9C">
        <w:rPr>
          <w:rFonts w:eastAsia="Times New Roman" w:cstheme="minorHAnsi"/>
          <w:color w:val="000000"/>
        </w:rPr>
        <w:t>Participation within a professional society.</w:t>
      </w:r>
    </w:p>
    <w:p w:rsidR="00042A9C" w:rsidRPr="00042A9C" w:rsidRDefault="00042A9C" w:rsidP="00042A9C">
      <w:pPr>
        <w:spacing w:after="225" w:line="240" w:lineRule="auto"/>
        <w:textAlignment w:val="baseline"/>
        <w:rPr>
          <w:rFonts w:eastAsia="Times New Roman" w:cstheme="minorHAnsi"/>
          <w:color w:val="000000"/>
        </w:rPr>
      </w:pPr>
      <w:r w:rsidRPr="00042A9C">
        <w:rPr>
          <w:rFonts w:eastAsia="Times New Roman" w:cstheme="minorHAnsi"/>
          <w:color w:val="000000"/>
        </w:rPr>
        <w:t>Community-engagement that relates to the candidate’s research, teaching, or extension work should be mentioned in the CV and more thoroughly documented in the research statement, teaching statement or extension statement as appropriate.</w:t>
      </w:r>
    </w:p>
    <w:p w:rsidR="00042A9C" w:rsidRDefault="00042A9C" w:rsidP="00042A9C">
      <w:pPr>
        <w:spacing w:after="0" w:line="240" w:lineRule="auto"/>
        <w:textAlignment w:val="baseline"/>
        <w:rPr>
          <w:rFonts w:eastAsia="Times New Roman" w:cstheme="minorHAnsi"/>
          <w:b/>
          <w:bCs/>
          <w:color w:val="000000"/>
          <w:bdr w:val="none" w:sz="0" w:space="0" w:color="auto" w:frame="1"/>
        </w:rPr>
      </w:pPr>
      <w:r w:rsidRPr="00042A9C">
        <w:rPr>
          <w:rFonts w:eastAsia="Times New Roman" w:cstheme="minorHAnsi"/>
          <w:b/>
          <w:bCs/>
          <w:color w:val="000000"/>
          <w:bdr w:val="none" w:sz="0" w:space="0" w:color="auto" w:frame="1"/>
        </w:rPr>
        <w:t>C10. How should a commitment to diversity and inclusion be expressed?</w:t>
      </w:r>
    </w:p>
    <w:p w:rsidR="00042A9C" w:rsidRPr="00042A9C" w:rsidRDefault="00042A9C" w:rsidP="00042A9C">
      <w:pPr>
        <w:spacing w:after="0" w:line="240" w:lineRule="auto"/>
        <w:textAlignment w:val="baseline"/>
        <w:rPr>
          <w:rFonts w:eastAsia="Times New Roman" w:cstheme="minorHAnsi"/>
          <w:color w:val="000000"/>
        </w:rPr>
      </w:pPr>
    </w:p>
    <w:p w:rsidR="00042A9C" w:rsidRPr="00042A9C" w:rsidRDefault="00042A9C" w:rsidP="00042A9C">
      <w:pPr>
        <w:spacing w:after="0" w:line="240" w:lineRule="auto"/>
        <w:textAlignment w:val="baseline"/>
        <w:rPr>
          <w:rFonts w:eastAsia="Times New Roman" w:cstheme="minorHAnsi"/>
          <w:color w:val="000000"/>
        </w:rPr>
      </w:pPr>
      <w:r w:rsidRPr="00042A9C">
        <w:rPr>
          <w:rFonts w:eastAsia="Times New Roman" w:cstheme="minorHAnsi"/>
          <w:color w:val="000000"/>
        </w:rPr>
        <w:t xml:space="preserve">Candidates should use (as appropriate) their statements on research, teaching/extension, and service to </w:t>
      </w:r>
      <w:proofErr w:type="gramStart"/>
      <w:r w:rsidRPr="00042A9C">
        <w:rPr>
          <w:rFonts w:eastAsia="Times New Roman" w:cstheme="minorHAnsi"/>
          <w:color w:val="000000"/>
        </w:rPr>
        <w:t>describe  activities</w:t>
      </w:r>
      <w:proofErr w:type="gramEnd"/>
      <w:r w:rsidRPr="00042A9C">
        <w:rPr>
          <w:rFonts w:eastAsia="Times New Roman" w:cstheme="minorHAnsi"/>
          <w:color w:val="000000"/>
        </w:rPr>
        <w:t xml:space="preserve"> and accomplishments that reflect a  commitment to diversity and inclusion. The </w:t>
      </w:r>
      <w:hyperlink r:id="rId12" w:history="1">
        <w:r w:rsidRPr="00042A9C">
          <w:rPr>
            <w:rFonts w:eastAsia="Times New Roman" w:cstheme="minorHAnsi"/>
            <w:color w:val="B31B1B"/>
            <w:u w:val="single"/>
            <w:bdr w:val="none" w:sz="0" w:space="0" w:color="auto" w:frame="1"/>
          </w:rPr>
          <w:t>Office of Faculty Development and Diversity</w:t>
        </w:r>
      </w:hyperlink>
      <w:r w:rsidRPr="00042A9C">
        <w:rPr>
          <w:rFonts w:eastAsia="Times New Roman" w:cstheme="minorHAnsi"/>
          <w:color w:val="000000"/>
        </w:rPr>
        <w:t xml:space="preserve"> has assembled a list of sample activities that is available through this  </w:t>
      </w:r>
      <w:hyperlink r:id="rId13" w:history="1">
        <w:r w:rsidRPr="00042A9C">
          <w:rPr>
            <w:rFonts w:eastAsia="Times New Roman" w:cstheme="minorHAnsi"/>
            <w:color w:val="B31B1B"/>
            <w:u w:val="single"/>
            <w:bdr w:val="none" w:sz="0" w:space="0" w:color="auto" w:frame="1"/>
          </w:rPr>
          <w:t>advice webpage</w:t>
        </w:r>
      </w:hyperlink>
      <w:r w:rsidRPr="00042A9C">
        <w:rPr>
          <w:rFonts w:eastAsia="Times New Roman" w:cstheme="minorHAnsi"/>
          <w:color w:val="000000"/>
        </w:rPr>
        <w:t xml:space="preserve"> that is provided to  faculty candidates. Note that applicants for faculty positions  are required to submit a  </w:t>
      </w:r>
      <w:hyperlink r:id="rId14" w:history="1">
        <w:r w:rsidRPr="00042A9C">
          <w:rPr>
            <w:rFonts w:eastAsia="Times New Roman" w:cstheme="minorHAnsi"/>
            <w:color w:val="B31B1B"/>
            <w:u w:val="single"/>
            <w:bdr w:val="none" w:sz="0" w:space="0" w:color="auto" w:frame="1"/>
          </w:rPr>
          <w:t>Statement on Contributions to Diversity, Equity and Inclusion</w:t>
        </w:r>
        <w:r w:rsidRPr="00042A9C">
          <w:rPr>
            <w:rFonts w:eastAsia="Times New Roman" w:cstheme="minorHAnsi"/>
            <w:color w:val="333333"/>
            <w:bdr w:val="none" w:sz="0" w:space="0" w:color="auto" w:frame="1"/>
            <w:shd w:val="clear" w:color="auto" w:fill="FFFFFF"/>
          </w:rPr>
          <w:t xml:space="preserve"> .</w:t>
        </w:r>
      </w:hyperlink>
    </w:p>
    <w:p w:rsidR="00042A9C" w:rsidRPr="00042A9C" w:rsidRDefault="00042A9C" w:rsidP="00042A9C">
      <w:pPr>
        <w:spacing w:after="225" w:line="240" w:lineRule="auto"/>
        <w:textAlignment w:val="baseline"/>
        <w:rPr>
          <w:rFonts w:eastAsia="Times New Roman" w:cstheme="minorHAnsi"/>
          <w:color w:val="000000"/>
        </w:rPr>
      </w:pPr>
      <w:r w:rsidRPr="00042A9C">
        <w:rPr>
          <w:rFonts w:eastAsia="Times New Roman" w:cstheme="minorHAnsi"/>
          <w:color w:val="000000"/>
        </w:rPr>
        <w:t xml:space="preserve">Alternatively, the </w:t>
      </w:r>
      <w:proofErr w:type="gramStart"/>
      <w:r w:rsidRPr="00042A9C">
        <w:rPr>
          <w:rFonts w:eastAsia="Times New Roman" w:cstheme="minorHAnsi"/>
          <w:color w:val="000000"/>
        </w:rPr>
        <w:t>candidate  should</w:t>
      </w:r>
      <w:proofErr w:type="gramEnd"/>
      <w:r w:rsidRPr="00042A9C">
        <w:rPr>
          <w:rFonts w:eastAsia="Times New Roman" w:cstheme="minorHAnsi"/>
          <w:color w:val="000000"/>
        </w:rPr>
        <w:t xml:space="preserve"> be allowed to include in the dossier a free standing statement on diversity and inclusion if they think that is the best way to communicate their accomplishments.</w:t>
      </w:r>
    </w:p>
    <w:p w:rsidR="00042A9C" w:rsidRDefault="00042A9C" w:rsidP="00042A9C">
      <w:pPr>
        <w:spacing w:after="0" w:line="240" w:lineRule="auto"/>
        <w:textAlignment w:val="baseline"/>
        <w:rPr>
          <w:rFonts w:eastAsia="Times New Roman" w:cstheme="minorHAnsi"/>
          <w:b/>
          <w:bCs/>
          <w:color w:val="000000"/>
          <w:bdr w:val="none" w:sz="0" w:space="0" w:color="auto" w:frame="1"/>
        </w:rPr>
      </w:pPr>
      <w:r w:rsidRPr="00042A9C">
        <w:rPr>
          <w:rFonts w:eastAsia="Times New Roman" w:cstheme="minorHAnsi"/>
          <w:b/>
          <w:bCs/>
          <w:color w:val="000000"/>
          <w:bdr w:val="none" w:sz="0" w:space="0" w:color="auto" w:frame="1"/>
        </w:rPr>
        <w:t xml:space="preserve">C11. What are the rules about updating the various documents that are supplied by the candidate? </w:t>
      </w:r>
    </w:p>
    <w:p w:rsidR="00042A9C" w:rsidRPr="00042A9C" w:rsidRDefault="00042A9C" w:rsidP="00042A9C">
      <w:pPr>
        <w:spacing w:after="0" w:line="240" w:lineRule="auto"/>
        <w:textAlignment w:val="baseline"/>
        <w:rPr>
          <w:rFonts w:eastAsia="Times New Roman" w:cstheme="minorHAnsi"/>
          <w:color w:val="000000"/>
        </w:rPr>
      </w:pPr>
    </w:p>
    <w:p w:rsidR="006045DA" w:rsidRPr="00042A9C" w:rsidRDefault="00042A9C" w:rsidP="00042A9C">
      <w:pPr>
        <w:spacing w:after="225" w:line="240" w:lineRule="auto"/>
        <w:textAlignment w:val="baseline"/>
        <w:rPr>
          <w:rFonts w:eastAsia="Times New Roman" w:cstheme="minorHAnsi"/>
          <w:color w:val="000000"/>
        </w:rPr>
      </w:pPr>
      <w:r w:rsidRPr="00042A9C">
        <w:rPr>
          <w:rFonts w:eastAsia="Times New Roman" w:cstheme="minorHAnsi"/>
          <w:color w:val="000000"/>
        </w:rPr>
        <w:t>For the sake of portraying the “same candidate” to all who participate in the review, the dossier is considered closed at the start of the tenure process. For these purposes, file closure occurs at the point of engagement with the external reviewers. The file can be updated during the process but only for the purposes of adding information that corroborates the quality of the work already reflected in the file: e.g., the acceptance of a submitted manuscript, the award of a submitted grant application, etc. The file cannot be updated to include new work completed after the closure date.</w:t>
      </w:r>
      <w:bookmarkStart w:id="0" w:name="_GoBack"/>
      <w:bookmarkEnd w:id="0"/>
    </w:p>
    <w:sectPr w:rsidR="006045DA" w:rsidRPr="00042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5430D"/>
    <w:multiLevelType w:val="multilevel"/>
    <w:tmpl w:val="0056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0E59FC"/>
    <w:multiLevelType w:val="multilevel"/>
    <w:tmpl w:val="BAA6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6C6010"/>
    <w:multiLevelType w:val="multilevel"/>
    <w:tmpl w:val="0494F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F1137E"/>
    <w:multiLevelType w:val="multilevel"/>
    <w:tmpl w:val="FEB2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9C"/>
    <w:rsid w:val="00042A9C"/>
    <w:rsid w:val="0060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EC09"/>
  <w15:chartTrackingRefBased/>
  <w15:docId w15:val="{E860F97A-C51D-4D9B-A2BE-1EBBF557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42A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A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2A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2A9C"/>
    <w:rPr>
      <w:color w:val="0000FF"/>
      <w:u w:val="single"/>
    </w:rPr>
  </w:style>
  <w:style w:type="character" w:styleId="Strong">
    <w:name w:val="Strong"/>
    <w:basedOn w:val="DefaultParagraphFont"/>
    <w:uiPriority w:val="22"/>
    <w:qFormat/>
    <w:rsid w:val="00042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a.cornell.edu/sites/default/files/vol6_2_1.pdf" TargetMode="External"/><Relationship Id="rId13" Type="http://schemas.openxmlformats.org/officeDocument/2006/relationships/hyperlink" Target="http://facultydevelopment.cornell.edu/information-for-faculty-candidates/" TargetMode="External"/><Relationship Id="rId3" Type="http://schemas.openxmlformats.org/officeDocument/2006/relationships/settings" Target="settings.xml"/><Relationship Id="rId7" Type="http://schemas.openxmlformats.org/officeDocument/2006/relationships/hyperlink" Target="http://theuniversityfaculty.cornell.edu/news/the-tenure-track-project/the-draft/3-the-department-review/3-1-initiating-the-review/" TargetMode="External"/><Relationship Id="rId12" Type="http://schemas.openxmlformats.org/officeDocument/2006/relationships/hyperlink" Target="http://facultydevelopment.cornel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universityfaculty.cornell.edu/the-new-faculty-handbook/4-tenure-track-promotions/4-3-appeals/4-3-2-not-to-conduct-a-tenure-review/" TargetMode="External"/><Relationship Id="rId11" Type="http://schemas.openxmlformats.org/officeDocument/2006/relationships/hyperlink" Target="http://theuniversityfaculty.cornell.edu/news/the-tenure-track-project/the-draft/3-the-department-review/3-2-candidate-statements-and-cv/" TargetMode="External"/><Relationship Id="rId5" Type="http://schemas.openxmlformats.org/officeDocument/2006/relationships/hyperlink" Target="https://cpb-us-e1.wpmucdn.com/blogs.cornell.edu/dist/3/6798/files/2015/12/TPPTRFT-1z1c8b7.pdf" TargetMode="External"/><Relationship Id="rId15" Type="http://schemas.openxmlformats.org/officeDocument/2006/relationships/fontTable" Target="fontTable.xml"/><Relationship Id="rId10" Type="http://schemas.openxmlformats.org/officeDocument/2006/relationships/hyperlink" Target="https://cpb-us-e1.wpmucdn.com/blogs.cornell.edu/dist/3/6798/files/2015/12/DOSSIERGUIDELINES-10b3m2j.pdf" TargetMode="External"/><Relationship Id="rId4" Type="http://schemas.openxmlformats.org/officeDocument/2006/relationships/webSettings" Target="webSettings.xml"/><Relationship Id="rId9" Type="http://schemas.openxmlformats.org/officeDocument/2006/relationships/hyperlink" Target="https://theuniversityfaculty.cornell.edu/the-new-faculty-handbook/4-tenure-track-promotions/4-3-appeals/4-3-2-not-to-conduct-a-tenure-review/" TargetMode="External"/><Relationship Id="rId14" Type="http://schemas.openxmlformats.org/officeDocument/2006/relationships/hyperlink" Target="http://facultydevelopment.cornell.edu/department-resources/recruitment/contribution-to-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1374</Words>
  <Characters>7838</Characters>
  <Application>Microsoft Office Word</Application>
  <DocSecurity>0</DocSecurity>
  <Lines>65</Lines>
  <Paragraphs>18</Paragraphs>
  <ScaleCrop>false</ScaleCrop>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Francis Van Loan</dc:creator>
  <cp:keywords/>
  <dc:description/>
  <cp:lastModifiedBy>Charles Francis Van Loan</cp:lastModifiedBy>
  <cp:revision>1</cp:revision>
  <dcterms:created xsi:type="dcterms:W3CDTF">2020-02-03T11:53:00Z</dcterms:created>
  <dcterms:modified xsi:type="dcterms:W3CDTF">2020-02-03T11:56:00Z</dcterms:modified>
</cp:coreProperties>
</file>