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BA5E" w14:textId="7F6B6569" w:rsidR="00F92AFB" w:rsidRPr="00F92AFB" w:rsidRDefault="00F92AFB" w:rsidP="00F92AFB">
      <w:pPr>
        <w:widowControl w:val="0"/>
        <w:autoSpaceDE w:val="0"/>
        <w:autoSpaceDN w:val="0"/>
        <w:adjustRightInd w:val="0"/>
        <w:jc w:val="center"/>
        <w:rPr>
          <w:b/>
        </w:rPr>
      </w:pPr>
      <w:r w:rsidRPr="00F92AFB">
        <w:rPr>
          <w:b/>
        </w:rPr>
        <w:t>Seasonal Assessment of Fixed Spray (SSCDS) Application of Apple Pesticides</w:t>
      </w:r>
      <w:r w:rsidR="008D44EF">
        <w:rPr>
          <w:b/>
        </w:rPr>
        <w:t>,</w:t>
      </w:r>
      <w:bookmarkStart w:id="0" w:name="_GoBack"/>
      <w:bookmarkEnd w:id="0"/>
    </w:p>
    <w:p w14:paraId="25A95855" w14:textId="77777777" w:rsidR="00767F45" w:rsidRPr="00F92AFB" w:rsidRDefault="00F92AFB" w:rsidP="00F92AFB">
      <w:pPr>
        <w:widowControl w:val="0"/>
        <w:autoSpaceDE w:val="0"/>
        <w:autoSpaceDN w:val="0"/>
        <w:adjustRightInd w:val="0"/>
        <w:jc w:val="center"/>
        <w:rPr>
          <w:b/>
        </w:rPr>
      </w:pPr>
      <w:r w:rsidRPr="00F92AFB">
        <w:rPr>
          <w:b/>
        </w:rPr>
        <w:t>Fowler Farms 2015</w:t>
      </w:r>
    </w:p>
    <w:p w14:paraId="6CAE6EDC" w14:textId="77777777" w:rsidR="00F92AFB" w:rsidRDefault="00F92AFB" w:rsidP="00F92AFB">
      <w:pPr>
        <w:widowControl w:val="0"/>
        <w:autoSpaceDE w:val="0"/>
        <w:autoSpaceDN w:val="0"/>
        <w:adjustRightInd w:val="0"/>
        <w:jc w:val="center"/>
      </w:pPr>
    </w:p>
    <w:p w14:paraId="4E69627B" w14:textId="61FB1D92" w:rsidR="00E734F6" w:rsidRDefault="00F92AFB" w:rsidP="00F92AFB">
      <w:pPr>
        <w:widowControl w:val="0"/>
        <w:autoSpaceDE w:val="0"/>
        <w:autoSpaceDN w:val="0"/>
        <w:adjustRightInd w:val="0"/>
        <w:jc w:val="center"/>
      </w:pPr>
      <w:r>
        <w:t>A. Agnello, Ent</w:t>
      </w:r>
      <w:r w:rsidR="00E734F6">
        <w:t>omology, NYS Agricultural Experiment Station</w:t>
      </w:r>
    </w:p>
    <w:p w14:paraId="7ADFD2FF" w14:textId="3BF3ED50" w:rsidR="00F92AFB" w:rsidRDefault="00F92AFB" w:rsidP="00F92AFB">
      <w:pPr>
        <w:widowControl w:val="0"/>
        <w:autoSpaceDE w:val="0"/>
        <w:autoSpaceDN w:val="0"/>
        <w:adjustRightInd w:val="0"/>
        <w:jc w:val="center"/>
      </w:pPr>
      <w:r>
        <w:t>Geneva, NY</w:t>
      </w:r>
    </w:p>
    <w:p w14:paraId="7CC54785" w14:textId="77777777" w:rsidR="00F92AFB" w:rsidRDefault="00F92AFB" w:rsidP="00F92AFB">
      <w:pPr>
        <w:widowControl w:val="0"/>
        <w:autoSpaceDE w:val="0"/>
        <w:autoSpaceDN w:val="0"/>
        <w:adjustRightInd w:val="0"/>
      </w:pPr>
    </w:p>
    <w:p w14:paraId="3755C2A9" w14:textId="5DF00D3A" w:rsidR="00F92AFB" w:rsidRDefault="000B16C0" w:rsidP="000B16C0">
      <w:pPr>
        <w:widowControl w:val="0"/>
        <w:tabs>
          <w:tab w:val="left" w:pos="360"/>
        </w:tabs>
        <w:autoSpaceDE w:val="0"/>
        <w:autoSpaceDN w:val="0"/>
        <w:adjustRightInd w:val="0"/>
      </w:pPr>
      <w:r>
        <w:rPr>
          <w:color w:val="000000"/>
        </w:rPr>
        <w:tab/>
      </w:r>
      <w:r w:rsidR="00385F6D">
        <w:rPr>
          <w:color w:val="000000"/>
        </w:rPr>
        <w:t>A fixed-spray (Solid Set Canopy Delivery)</w:t>
      </w:r>
      <w:r w:rsidR="00385F6D" w:rsidRPr="00CF28C5">
        <w:rPr>
          <w:color w:val="000000"/>
        </w:rPr>
        <w:t xml:space="preserve"> </w:t>
      </w:r>
      <w:r w:rsidR="00385F6D" w:rsidRPr="00CF28C5">
        <w:t>system</w:t>
      </w:r>
      <w:r w:rsidR="00385F6D">
        <w:t xml:space="preserve"> was used to apply all the crop protectants (insecticides, fungicides, acaricides) and foliar nutrients required </w:t>
      </w:r>
      <w:r w:rsidR="00E734F6">
        <w:t>in</w:t>
      </w:r>
      <w:r w:rsidR="00385F6D">
        <w:t xml:space="preserve"> a section of a commercial</w:t>
      </w:r>
      <w:r w:rsidR="00385F6D" w:rsidRPr="00CF28C5">
        <w:t xml:space="preserve"> </w:t>
      </w:r>
      <w:r w:rsidR="00385F6D">
        <w:t>apple planting, at the same dates and rates as</w:t>
      </w:r>
      <w:r w:rsidR="00E734F6">
        <w:t xml:space="preserve"> those</w:t>
      </w:r>
      <w:r w:rsidR="00385F6D">
        <w:t xml:space="preserve"> applied to the remainder of the orchard using a standard airblast sprayer.  The system was </w:t>
      </w:r>
      <w:r w:rsidR="00385F6D" w:rsidRPr="00CF28C5">
        <w:t>constructed in a 1.1-acre section of a super-spindle dw</w:t>
      </w:r>
      <w:r w:rsidR="00385F6D">
        <w:t>arf (M.9) apple orchard in its 7</w:t>
      </w:r>
      <w:r w:rsidR="00385F6D" w:rsidRPr="00CF28C5">
        <w:t xml:space="preserve">th leaf, </w:t>
      </w:r>
      <w:r w:rsidR="00385F6D">
        <w:t xml:space="preserve">located at Fowler Farms </w:t>
      </w:r>
      <w:r w:rsidR="00385F6D" w:rsidRPr="00CF28C5">
        <w:t>in Wolcott (Wayne Co.), NY.  The system plot covers 16 rows comprising 4 varieties in 4-row sets (McIntosh, Gala, Zestar</w:t>
      </w:r>
      <w:r w:rsidR="004F415C">
        <w:t>!</w:t>
      </w:r>
      <w:r w:rsidR="00385F6D" w:rsidRPr="00CF28C5">
        <w:t>, Honeycrisp), planted on a 10-ft row spacing with 2 ft between the trees, extending 300 ft down each row.  Spray nozzles are supplied by 1" diam polyethylene tubing attached to a support wire above the trees (105" height); single or double microsprayer (9.2 gal/hr) nozzles are suspended on 8" or 28" lengths of tubing reservoirs alternating every 3 ft along the lateral tubing, and are f</w:t>
      </w:r>
      <w:r w:rsidR="00385F6D">
        <w:t>itted with anti-drip devices.  For each application, pesticides mixed in the tank of the airblast sprayer were pumped directly into the system's input manifold at a low pressure, to fill</w:t>
      </w:r>
      <w:r w:rsidR="00385F6D" w:rsidRPr="00CF28C5">
        <w:t xml:space="preserve"> al</w:t>
      </w:r>
      <w:r w:rsidR="00385F6D">
        <w:t>l the tubing reservoirs, and then compressed air at &lt;2</w:t>
      </w:r>
      <w:r w:rsidR="00385F6D" w:rsidRPr="00CF28C5">
        <w:t xml:space="preserve">5 psi was used to push the excess liquid through return lines </w:t>
      </w:r>
      <w:r w:rsidR="00385F6D">
        <w:t>and back into the tank</w:t>
      </w:r>
      <w:r w:rsidR="00385F6D" w:rsidRPr="00CF28C5">
        <w:t>.  Finally, compressed air at 40 psi was used to open the check valves and</w:t>
      </w:r>
      <w:r w:rsidR="00385F6D">
        <w:t xml:space="preserve"> spray out the solution</w:t>
      </w:r>
      <w:r w:rsidR="00E734F6">
        <w:t xml:space="preserve"> from the reservoirs i</w:t>
      </w:r>
      <w:r w:rsidR="00385F6D">
        <w:t>nto the trees</w:t>
      </w:r>
      <w:r w:rsidR="00385F6D" w:rsidRPr="00CF28C5">
        <w:t>.</w:t>
      </w:r>
      <w:r w:rsidR="00E734F6">
        <w:t xml:space="preserve">  On each application date, s</w:t>
      </w:r>
      <w:r>
        <w:t>prays were applied to</w:t>
      </w:r>
      <w:r w:rsidR="007B1061">
        <w:t xml:space="preserve"> each of the eight</w:t>
      </w:r>
      <w:r>
        <w:t xml:space="preserve"> 2-row </w:t>
      </w:r>
      <w:r w:rsidR="007B1061">
        <w:t>sections of the system's structure</w:t>
      </w:r>
      <w:r w:rsidR="00E734F6" w:rsidRPr="00E734F6">
        <w:t xml:space="preserve"> </w:t>
      </w:r>
      <w:r w:rsidR="00E734F6">
        <w:t>sequentially</w:t>
      </w:r>
      <w:r w:rsidR="007B1061">
        <w:t>; after all 16 rows had been sprayed</w:t>
      </w:r>
      <w:r w:rsidR="005F6B10">
        <w:t xml:space="preserve"> (a process taking 15-20 min for the 1.1 acres)</w:t>
      </w:r>
      <w:r w:rsidR="007B1061">
        <w:t>, the remainder of the block was sprayed, using the same airblast unit being drawn by the tractor.</w:t>
      </w:r>
    </w:p>
    <w:p w14:paraId="7019A548" w14:textId="77777777" w:rsidR="007B1061" w:rsidRDefault="007B1061" w:rsidP="000B16C0">
      <w:pPr>
        <w:widowControl w:val="0"/>
        <w:tabs>
          <w:tab w:val="left" w:pos="360"/>
        </w:tabs>
        <w:autoSpaceDE w:val="0"/>
        <w:autoSpaceDN w:val="0"/>
        <w:adjustRightInd w:val="0"/>
      </w:pPr>
    </w:p>
    <w:p w14:paraId="03929A62" w14:textId="3C192C7D" w:rsidR="004F415C" w:rsidRDefault="007B1061" w:rsidP="000B16C0">
      <w:pPr>
        <w:widowControl w:val="0"/>
        <w:tabs>
          <w:tab w:val="left" w:pos="360"/>
        </w:tabs>
        <w:autoSpaceDE w:val="0"/>
        <w:autoSpaceDN w:val="0"/>
        <w:adjustRightInd w:val="0"/>
      </w:pPr>
      <w:r>
        <w:tab/>
        <w:t>Insect pheromone traps were deployed at the start of the season, in both the SSCDS and Airblast portions of the orchard, to assess the levels of 3 primary lepidopteran fruit pests: codling moth (CM), oriental fruit moth (OFM), and obliquebanded leafroller (OBLR).  Two traps per species were hung in the</w:t>
      </w:r>
      <w:r w:rsidR="00547853">
        <w:t xml:space="preserve"> orchard</w:t>
      </w:r>
      <w:r>
        <w:t xml:space="preserve"> </w:t>
      </w:r>
      <w:r w:rsidR="00547853">
        <w:t>interior, at two locations in the SSCDS section</w:t>
      </w:r>
      <w:r>
        <w:t>, and were checked weekly from 12 May until 7 September.</w:t>
      </w:r>
      <w:r w:rsidR="00E734F6">
        <w:t xml:space="preserve">  </w:t>
      </w:r>
      <w:r w:rsidR="004F415C">
        <w:t>On 14 September, fruits were examined on the tree for evidence of insect damage and apple scab infection; 200 fruits each of Gala, McIntosh, and Honeycrisp (Zestar! had been harvested at an earlier date) were sampled in each of the treatments and rated for the presence of insect or disease damage.</w:t>
      </w:r>
    </w:p>
    <w:p w14:paraId="5ADD09D3" w14:textId="77777777" w:rsidR="00E734F6" w:rsidRDefault="00E734F6" w:rsidP="000B16C0">
      <w:pPr>
        <w:widowControl w:val="0"/>
        <w:tabs>
          <w:tab w:val="left" w:pos="360"/>
        </w:tabs>
        <w:autoSpaceDE w:val="0"/>
        <w:autoSpaceDN w:val="0"/>
        <w:adjustRightInd w:val="0"/>
      </w:pPr>
    </w:p>
    <w:p w14:paraId="6CCEC62E" w14:textId="5395CD71" w:rsidR="00E734F6" w:rsidRDefault="00E734F6" w:rsidP="000B16C0">
      <w:pPr>
        <w:widowControl w:val="0"/>
        <w:tabs>
          <w:tab w:val="left" w:pos="360"/>
        </w:tabs>
        <w:autoSpaceDE w:val="0"/>
        <w:autoSpaceDN w:val="0"/>
        <w:adjustRightInd w:val="0"/>
      </w:pPr>
      <w:r>
        <w:rPr>
          <w:b/>
        </w:rPr>
        <w:t>Results</w:t>
      </w:r>
    </w:p>
    <w:p w14:paraId="34F75645" w14:textId="5D3846C1" w:rsidR="00E734F6" w:rsidRDefault="00E734F6" w:rsidP="000B16C0">
      <w:pPr>
        <w:widowControl w:val="0"/>
        <w:tabs>
          <w:tab w:val="left" w:pos="360"/>
        </w:tabs>
        <w:autoSpaceDE w:val="0"/>
        <w:autoSpaceDN w:val="0"/>
        <w:adjustRightInd w:val="0"/>
      </w:pPr>
      <w:r>
        <w:tab/>
        <w:t>Insect pressure was generally low in this orchard throughout the season, with few or no captures of CM or OFM, but a moderate level of OBLR was seen (Fig. 1).</w:t>
      </w:r>
      <w:r w:rsidR="00547853">
        <w:t xml:space="preserve">  The results of the </w:t>
      </w:r>
      <w:r w:rsidR="005F6B10">
        <w:t>fruit inspection revealed no incidences of apple scab using either application method, and extremely low damage from any insects; the only fruit damage found was caused by tarnished plant bug, in the SSCDS treatment (Table 1).  Although no untreated check was included to assess the baseline pressure of these pests, these results indicate that the SSCDS application method provided control equivalent to that obtained with an airblast sprayer.</w:t>
      </w:r>
    </w:p>
    <w:p w14:paraId="0CDDDE3C" w14:textId="36A35FBE" w:rsidR="00B22416" w:rsidRDefault="00B22416">
      <w:r>
        <w:br w:type="page"/>
      </w:r>
    </w:p>
    <w:p w14:paraId="349CBB7D" w14:textId="1A7CA96E" w:rsidR="00B22416" w:rsidRDefault="00B22416" w:rsidP="000B16C0">
      <w:pPr>
        <w:widowControl w:val="0"/>
        <w:tabs>
          <w:tab w:val="left" w:pos="360"/>
        </w:tabs>
        <w:autoSpaceDE w:val="0"/>
        <w:autoSpaceDN w:val="0"/>
        <w:adjustRightInd w:val="0"/>
      </w:pPr>
      <w:r>
        <w:lastRenderedPageBreak/>
        <w:t xml:space="preserve">Fig. 1.  Captures of </w:t>
      </w:r>
      <w:r w:rsidR="00ED7C89">
        <w:t>fruit-damaging Lepidoptera pest moths in the SSCDS orchard section, 2015.</w:t>
      </w:r>
    </w:p>
    <w:p w14:paraId="26C82830" w14:textId="77777777" w:rsidR="00ED7C89" w:rsidRDefault="00ED7C89" w:rsidP="000B16C0">
      <w:pPr>
        <w:widowControl w:val="0"/>
        <w:tabs>
          <w:tab w:val="left" w:pos="360"/>
        </w:tabs>
        <w:autoSpaceDE w:val="0"/>
        <w:autoSpaceDN w:val="0"/>
        <w:adjustRightInd w:val="0"/>
      </w:pPr>
    </w:p>
    <w:p w14:paraId="7365911B" w14:textId="1A139259" w:rsidR="00ED7C89" w:rsidRDefault="00ED7C89" w:rsidP="000B16C0">
      <w:pPr>
        <w:widowControl w:val="0"/>
        <w:tabs>
          <w:tab w:val="left" w:pos="360"/>
        </w:tabs>
        <w:autoSpaceDE w:val="0"/>
        <w:autoSpaceDN w:val="0"/>
        <w:adjustRightInd w:val="0"/>
      </w:pPr>
      <w:r>
        <w:rPr>
          <w:noProof/>
        </w:rPr>
        <w:drawing>
          <wp:inline distT="0" distB="0" distL="0" distR="0" wp14:anchorId="7BE22723" wp14:editId="2E045C82">
            <wp:extent cx="4572000" cy="33020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BA8138" w14:textId="77777777" w:rsidR="00ED7C89" w:rsidRDefault="00ED7C89" w:rsidP="000B16C0">
      <w:pPr>
        <w:widowControl w:val="0"/>
        <w:tabs>
          <w:tab w:val="left" w:pos="360"/>
        </w:tabs>
        <w:autoSpaceDE w:val="0"/>
        <w:autoSpaceDN w:val="0"/>
        <w:adjustRightInd w:val="0"/>
      </w:pPr>
    </w:p>
    <w:p w14:paraId="78FC32A2" w14:textId="49FFC0AC" w:rsidR="00ED7C89" w:rsidRDefault="00ED7C89" w:rsidP="000B16C0">
      <w:pPr>
        <w:widowControl w:val="0"/>
        <w:tabs>
          <w:tab w:val="left" w:pos="360"/>
        </w:tabs>
        <w:autoSpaceDE w:val="0"/>
        <w:autoSpaceDN w:val="0"/>
        <w:adjustRightInd w:val="0"/>
      </w:pPr>
      <w:r>
        <w:t>Table 1.  Pre-harvest fruit insect and disease damage to apples receiving seasonal sprays applied using either SSCDS or Airblast application methods, 14 Sept. 2015.</w:t>
      </w:r>
    </w:p>
    <w:p w14:paraId="738F5621" w14:textId="77777777" w:rsidR="00ED7C89" w:rsidRDefault="00ED7C89" w:rsidP="000B16C0">
      <w:pPr>
        <w:widowControl w:val="0"/>
        <w:tabs>
          <w:tab w:val="left" w:pos="360"/>
        </w:tabs>
        <w:autoSpaceDE w:val="0"/>
        <w:autoSpaceDN w:val="0"/>
        <w:adjustRightInd w:val="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96"/>
        <w:gridCol w:w="1596"/>
        <w:gridCol w:w="1596"/>
        <w:gridCol w:w="1596"/>
        <w:gridCol w:w="1596"/>
        <w:gridCol w:w="1596"/>
      </w:tblGrid>
      <w:tr w:rsidR="00ED7C89" w14:paraId="0E095E65" w14:textId="77777777" w:rsidTr="008141EC">
        <w:tc>
          <w:tcPr>
            <w:tcW w:w="1596" w:type="dxa"/>
            <w:tcBorders>
              <w:bottom w:val="nil"/>
              <w:right w:val="nil"/>
            </w:tcBorders>
          </w:tcPr>
          <w:p w14:paraId="081F4868" w14:textId="2DFB5572" w:rsidR="00ED7C89" w:rsidRDefault="00ED7C89" w:rsidP="00ED7C89">
            <w:pPr>
              <w:widowControl w:val="0"/>
              <w:tabs>
                <w:tab w:val="left" w:pos="360"/>
              </w:tabs>
              <w:autoSpaceDE w:val="0"/>
              <w:autoSpaceDN w:val="0"/>
              <w:adjustRightInd w:val="0"/>
              <w:jc w:val="center"/>
            </w:pPr>
          </w:p>
        </w:tc>
        <w:tc>
          <w:tcPr>
            <w:tcW w:w="1596" w:type="dxa"/>
            <w:tcBorders>
              <w:left w:val="nil"/>
              <w:bottom w:val="nil"/>
              <w:right w:val="nil"/>
            </w:tcBorders>
          </w:tcPr>
          <w:p w14:paraId="3329699E" w14:textId="1FEBA3E5" w:rsidR="00ED7C89" w:rsidRDefault="00ED7C89" w:rsidP="00ED7C89">
            <w:pPr>
              <w:widowControl w:val="0"/>
              <w:tabs>
                <w:tab w:val="left" w:pos="360"/>
              </w:tabs>
              <w:autoSpaceDE w:val="0"/>
              <w:autoSpaceDN w:val="0"/>
              <w:adjustRightInd w:val="0"/>
              <w:jc w:val="center"/>
            </w:pPr>
          </w:p>
        </w:tc>
        <w:tc>
          <w:tcPr>
            <w:tcW w:w="1596" w:type="dxa"/>
            <w:tcBorders>
              <w:left w:val="nil"/>
              <w:bottom w:val="nil"/>
              <w:right w:val="nil"/>
            </w:tcBorders>
          </w:tcPr>
          <w:p w14:paraId="56C58FD7" w14:textId="31A64B98" w:rsidR="00ED7C89" w:rsidRDefault="00ED7C89" w:rsidP="00ED7C89">
            <w:pPr>
              <w:widowControl w:val="0"/>
              <w:tabs>
                <w:tab w:val="left" w:pos="360"/>
              </w:tabs>
              <w:autoSpaceDE w:val="0"/>
              <w:autoSpaceDN w:val="0"/>
              <w:adjustRightInd w:val="0"/>
              <w:jc w:val="center"/>
            </w:pPr>
            <w:r>
              <w:t xml:space="preserve">Number </w:t>
            </w:r>
          </w:p>
        </w:tc>
        <w:tc>
          <w:tcPr>
            <w:tcW w:w="4788" w:type="dxa"/>
            <w:gridSpan w:val="3"/>
            <w:tcBorders>
              <w:left w:val="nil"/>
            </w:tcBorders>
          </w:tcPr>
          <w:p w14:paraId="66E58417" w14:textId="25FCC79C" w:rsidR="00ED7C89" w:rsidRDefault="00ED7C89" w:rsidP="00ED7C89">
            <w:pPr>
              <w:widowControl w:val="0"/>
              <w:tabs>
                <w:tab w:val="left" w:pos="360"/>
              </w:tabs>
              <w:autoSpaceDE w:val="0"/>
              <w:autoSpaceDN w:val="0"/>
              <w:adjustRightInd w:val="0"/>
              <w:jc w:val="center"/>
            </w:pPr>
            <w:r>
              <w:t>No. damaged by</w:t>
            </w:r>
          </w:p>
        </w:tc>
      </w:tr>
      <w:tr w:rsidR="008141EC" w14:paraId="65728C00" w14:textId="77777777" w:rsidTr="008141EC">
        <w:tc>
          <w:tcPr>
            <w:tcW w:w="1596" w:type="dxa"/>
            <w:tcBorders>
              <w:top w:val="nil"/>
              <w:bottom w:val="single" w:sz="4" w:space="0" w:color="auto"/>
              <w:right w:val="nil"/>
            </w:tcBorders>
          </w:tcPr>
          <w:p w14:paraId="4610037B" w14:textId="244CD449" w:rsidR="008141EC" w:rsidRDefault="008141EC" w:rsidP="00ED7C89">
            <w:pPr>
              <w:widowControl w:val="0"/>
              <w:tabs>
                <w:tab w:val="left" w:pos="360"/>
              </w:tabs>
              <w:autoSpaceDE w:val="0"/>
              <w:autoSpaceDN w:val="0"/>
              <w:adjustRightInd w:val="0"/>
              <w:jc w:val="center"/>
            </w:pPr>
            <w:r>
              <w:t>Treatment</w:t>
            </w:r>
          </w:p>
        </w:tc>
        <w:tc>
          <w:tcPr>
            <w:tcW w:w="1596" w:type="dxa"/>
            <w:tcBorders>
              <w:top w:val="nil"/>
              <w:left w:val="nil"/>
              <w:bottom w:val="single" w:sz="4" w:space="0" w:color="auto"/>
              <w:right w:val="nil"/>
            </w:tcBorders>
          </w:tcPr>
          <w:p w14:paraId="6F62612B" w14:textId="3278A766" w:rsidR="008141EC" w:rsidRDefault="008141EC" w:rsidP="00ED7C89">
            <w:pPr>
              <w:widowControl w:val="0"/>
              <w:tabs>
                <w:tab w:val="left" w:pos="360"/>
              </w:tabs>
              <w:autoSpaceDE w:val="0"/>
              <w:autoSpaceDN w:val="0"/>
              <w:adjustRightInd w:val="0"/>
              <w:jc w:val="center"/>
            </w:pPr>
            <w:r>
              <w:t>Variety</w:t>
            </w:r>
          </w:p>
        </w:tc>
        <w:tc>
          <w:tcPr>
            <w:tcW w:w="1596" w:type="dxa"/>
            <w:tcBorders>
              <w:top w:val="nil"/>
              <w:left w:val="nil"/>
              <w:bottom w:val="single" w:sz="4" w:space="0" w:color="auto"/>
              <w:right w:val="nil"/>
            </w:tcBorders>
          </w:tcPr>
          <w:p w14:paraId="2C36A682" w14:textId="184EB497" w:rsidR="008141EC" w:rsidRDefault="008141EC" w:rsidP="00ED7C89">
            <w:pPr>
              <w:widowControl w:val="0"/>
              <w:tabs>
                <w:tab w:val="left" w:pos="360"/>
              </w:tabs>
              <w:autoSpaceDE w:val="0"/>
              <w:autoSpaceDN w:val="0"/>
              <w:adjustRightInd w:val="0"/>
              <w:jc w:val="center"/>
            </w:pPr>
            <w:r>
              <w:t>of fruits</w:t>
            </w:r>
          </w:p>
        </w:tc>
        <w:tc>
          <w:tcPr>
            <w:tcW w:w="1596" w:type="dxa"/>
            <w:tcBorders>
              <w:left w:val="nil"/>
              <w:bottom w:val="single" w:sz="4" w:space="0" w:color="auto"/>
              <w:right w:val="nil"/>
            </w:tcBorders>
          </w:tcPr>
          <w:p w14:paraId="479E94AE" w14:textId="5259C500" w:rsidR="008141EC" w:rsidRDefault="008141EC" w:rsidP="00ED7C89">
            <w:pPr>
              <w:widowControl w:val="0"/>
              <w:tabs>
                <w:tab w:val="left" w:pos="360"/>
              </w:tabs>
              <w:autoSpaceDE w:val="0"/>
              <w:autoSpaceDN w:val="0"/>
              <w:adjustRightInd w:val="0"/>
              <w:jc w:val="center"/>
            </w:pPr>
            <w:r>
              <w:t>OBLR</w:t>
            </w:r>
          </w:p>
        </w:tc>
        <w:tc>
          <w:tcPr>
            <w:tcW w:w="1596" w:type="dxa"/>
            <w:tcBorders>
              <w:left w:val="nil"/>
              <w:bottom w:val="single" w:sz="4" w:space="0" w:color="auto"/>
              <w:right w:val="nil"/>
            </w:tcBorders>
          </w:tcPr>
          <w:p w14:paraId="29BAADAE" w14:textId="58E771CE" w:rsidR="008141EC" w:rsidRDefault="008141EC" w:rsidP="00ED7C89">
            <w:pPr>
              <w:widowControl w:val="0"/>
              <w:tabs>
                <w:tab w:val="left" w:pos="360"/>
              </w:tabs>
              <w:autoSpaceDE w:val="0"/>
              <w:autoSpaceDN w:val="0"/>
              <w:adjustRightInd w:val="0"/>
              <w:jc w:val="center"/>
            </w:pPr>
            <w:r>
              <w:t>TPB</w:t>
            </w:r>
          </w:p>
        </w:tc>
        <w:tc>
          <w:tcPr>
            <w:tcW w:w="1596" w:type="dxa"/>
            <w:tcBorders>
              <w:left w:val="nil"/>
              <w:bottom w:val="single" w:sz="4" w:space="0" w:color="auto"/>
            </w:tcBorders>
          </w:tcPr>
          <w:p w14:paraId="79A5B736" w14:textId="4205DFC0" w:rsidR="008141EC" w:rsidRDefault="008141EC" w:rsidP="00ED7C89">
            <w:pPr>
              <w:widowControl w:val="0"/>
              <w:tabs>
                <w:tab w:val="left" w:pos="360"/>
              </w:tabs>
              <w:autoSpaceDE w:val="0"/>
              <w:autoSpaceDN w:val="0"/>
              <w:adjustRightInd w:val="0"/>
              <w:jc w:val="center"/>
            </w:pPr>
            <w:r>
              <w:t>Apple Scab</w:t>
            </w:r>
          </w:p>
        </w:tc>
      </w:tr>
      <w:tr w:rsidR="008141EC" w14:paraId="202F1785" w14:textId="77777777" w:rsidTr="008141EC">
        <w:tc>
          <w:tcPr>
            <w:tcW w:w="1596" w:type="dxa"/>
            <w:tcBorders>
              <w:left w:val="nil"/>
              <w:bottom w:val="nil"/>
              <w:right w:val="nil"/>
            </w:tcBorders>
          </w:tcPr>
          <w:p w14:paraId="1876FBB8" w14:textId="057C2099" w:rsidR="008141EC" w:rsidRDefault="008141EC" w:rsidP="000B16C0">
            <w:pPr>
              <w:widowControl w:val="0"/>
              <w:tabs>
                <w:tab w:val="left" w:pos="360"/>
              </w:tabs>
              <w:autoSpaceDE w:val="0"/>
              <w:autoSpaceDN w:val="0"/>
              <w:adjustRightInd w:val="0"/>
            </w:pPr>
            <w:r>
              <w:t>Fixed Spray</w:t>
            </w:r>
          </w:p>
        </w:tc>
        <w:tc>
          <w:tcPr>
            <w:tcW w:w="1596" w:type="dxa"/>
            <w:tcBorders>
              <w:left w:val="nil"/>
              <w:bottom w:val="nil"/>
              <w:right w:val="nil"/>
            </w:tcBorders>
          </w:tcPr>
          <w:p w14:paraId="27A39012" w14:textId="752754E5" w:rsidR="008141EC" w:rsidRDefault="008141EC" w:rsidP="000B16C0">
            <w:pPr>
              <w:widowControl w:val="0"/>
              <w:tabs>
                <w:tab w:val="left" w:pos="360"/>
              </w:tabs>
              <w:autoSpaceDE w:val="0"/>
              <w:autoSpaceDN w:val="0"/>
              <w:adjustRightInd w:val="0"/>
            </w:pPr>
            <w:r>
              <w:t>Gala</w:t>
            </w:r>
          </w:p>
        </w:tc>
        <w:tc>
          <w:tcPr>
            <w:tcW w:w="1596" w:type="dxa"/>
            <w:tcBorders>
              <w:left w:val="nil"/>
              <w:bottom w:val="nil"/>
              <w:right w:val="nil"/>
            </w:tcBorders>
          </w:tcPr>
          <w:p w14:paraId="48DACE4B" w14:textId="43F12611" w:rsidR="008141EC" w:rsidRDefault="008141EC" w:rsidP="00ED7C89">
            <w:pPr>
              <w:widowControl w:val="0"/>
              <w:tabs>
                <w:tab w:val="left" w:pos="360"/>
              </w:tabs>
              <w:autoSpaceDE w:val="0"/>
              <w:autoSpaceDN w:val="0"/>
              <w:adjustRightInd w:val="0"/>
              <w:jc w:val="center"/>
            </w:pPr>
            <w:r>
              <w:t>200</w:t>
            </w:r>
          </w:p>
        </w:tc>
        <w:tc>
          <w:tcPr>
            <w:tcW w:w="1596" w:type="dxa"/>
            <w:tcBorders>
              <w:left w:val="nil"/>
              <w:bottom w:val="nil"/>
              <w:right w:val="nil"/>
            </w:tcBorders>
          </w:tcPr>
          <w:p w14:paraId="0D28DF3A" w14:textId="5CBFC513" w:rsidR="008141EC" w:rsidRDefault="008141EC" w:rsidP="00ED7C89">
            <w:pPr>
              <w:widowControl w:val="0"/>
              <w:tabs>
                <w:tab w:val="left" w:pos="360"/>
              </w:tabs>
              <w:autoSpaceDE w:val="0"/>
              <w:autoSpaceDN w:val="0"/>
              <w:adjustRightInd w:val="0"/>
              <w:jc w:val="center"/>
            </w:pPr>
            <w:r>
              <w:t>0</w:t>
            </w:r>
          </w:p>
        </w:tc>
        <w:tc>
          <w:tcPr>
            <w:tcW w:w="1596" w:type="dxa"/>
            <w:tcBorders>
              <w:left w:val="nil"/>
              <w:bottom w:val="nil"/>
              <w:right w:val="nil"/>
            </w:tcBorders>
          </w:tcPr>
          <w:p w14:paraId="74086E96" w14:textId="1D3F75A5" w:rsidR="008141EC" w:rsidRDefault="008141EC" w:rsidP="00ED7C89">
            <w:pPr>
              <w:widowControl w:val="0"/>
              <w:tabs>
                <w:tab w:val="left" w:pos="360"/>
              </w:tabs>
              <w:autoSpaceDE w:val="0"/>
              <w:autoSpaceDN w:val="0"/>
              <w:adjustRightInd w:val="0"/>
              <w:jc w:val="center"/>
            </w:pPr>
            <w:r>
              <w:t>3</w:t>
            </w:r>
          </w:p>
        </w:tc>
        <w:tc>
          <w:tcPr>
            <w:tcW w:w="1596" w:type="dxa"/>
            <w:tcBorders>
              <w:left w:val="nil"/>
              <w:bottom w:val="nil"/>
              <w:right w:val="nil"/>
            </w:tcBorders>
          </w:tcPr>
          <w:p w14:paraId="02876B61" w14:textId="02F32CBB" w:rsidR="008141EC" w:rsidRDefault="008141EC" w:rsidP="00ED7C89">
            <w:pPr>
              <w:widowControl w:val="0"/>
              <w:tabs>
                <w:tab w:val="left" w:pos="360"/>
              </w:tabs>
              <w:autoSpaceDE w:val="0"/>
              <w:autoSpaceDN w:val="0"/>
              <w:adjustRightInd w:val="0"/>
              <w:jc w:val="center"/>
            </w:pPr>
            <w:r>
              <w:t>0</w:t>
            </w:r>
          </w:p>
        </w:tc>
      </w:tr>
      <w:tr w:rsidR="008141EC" w14:paraId="759C28C8" w14:textId="77777777" w:rsidTr="008141EC">
        <w:tc>
          <w:tcPr>
            <w:tcW w:w="1596" w:type="dxa"/>
            <w:tcBorders>
              <w:top w:val="nil"/>
              <w:bottom w:val="nil"/>
              <w:right w:val="nil"/>
            </w:tcBorders>
          </w:tcPr>
          <w:p w14:paraId="49A61466" w14:textId="5EBF8A3E" w:rsidR="008141EC" w:rsidRDefault="008141EC" w:rsidP="000B16C0">
            <w:pPr>
              <w:widowControl w:val="0"/>
              <w:tabs>
                <w:tab w:val="left" w:pos="360"/>
              </w:tabs>
              <w:autoSpaceDE w:val="0"/>
              <w:autoSpaceDN w:val="0"/>
              <w:adjustRightInd w:val="0"/>
            </w:pPr>
            <w:r>
              <w:t>Fixed Spray</w:t>
            </w:r>
          </w:p>
        </w:tc>
        <w:tc>
          <w:tcPr>
            <w:tcW w:w="1596" w:type="dxa"/>
            <w:tcBorders>
              <w:top w:val="nil"/>
              <w:left w:val="nil"/>
              <w:bottom w:val="nil"/>
              <w:right w:val="nil"/>
            </w:tcBorders>
          </w:tcPr>
          <w:p w14:paraId="036957B0" w14:textId="00F0D65F" w:rsidR="008141EC" w:rsidRDefault="008141EC" w:rsidP="000B16C0">
            <w:pPr>
              <w:widowControl w:val="0"/>
              <w:tabs>
                <w:tab w:val="left" w:pos="360"/>
              </w:tabs>
              <w:autoSpaceDE w:val="0"/>
              <w:autoSpaceDN w:val="0"/>
              <w:adjustRightInd w:val="0"/>
            </w:pPr>
            <w:r>
              <w:t>McIntosh</w:t>
            </w:r>
          </w:p>
        </w:tc>
        <w:tc>
          <w:tcPr>
            <w:tcW w:w="1596" w:type="dxa"/>
            <w:tcBorders>
              <w:top w:val="nil"/>
              <w:left w:val="nil"/>
              <w:bottom w:val="nil"/>
              <w:right w:val="nil"/>
            </w:tcBorders>
          </w:tcPr>
          <w:p w14:paraId="7B55AB1D" w14:textId="74454E16" w:rsidR="008141EC" w:rsidRDefault="008141EC" w:rsidP="00ED7C89">
            <w:pPr>
              <w:widowControl w:val="0"/>
              <w:tabs>
                <w:tab w:val="left" w:pos="360"/>
              </w:tabs>
              <w:autoSpaceDE w:val="0"/>
              <w:autoSpaceDN w:val="0"/>
              <w:adjustRightInd w:val="0"/>
              <w:jc w:val="center"/>
            </w:pPr>
            <w:r>
              <w:t>200</w:t>
            </w:r>
          </w:p>
        </w:tc>
        <w:tc>
          <w:tcPr>
            <w:tcW w:w="1596" w:type="dxa"/>
            <w:tcBorders>
              <w:top w:val="nil"/>
              <w:left w:val="nil"/>
              <w:bottom w:val="nil"/>
              <w:right w:val="nil"/>
            </w:tcBorders>
          </w:tcPr>
          <w:p w14:paraId="20926FDF" w14:textId="43F864C9"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right w:val="nil"/>
            </w:tcBorders>
          </w:tcPr>
          <w:p w14:paraId="2CDA8D10" w14:textId="269109EB"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tcBorders>
          </w:tcPr>
          <w:p w14:paraId="57626A7D" w14:textId="4607B975" w:rsidR="008141EC" w:rsidRDefault="008141EC" w:rsidP="00ED7C89">
            <w:pPr>
              <w:widowControl w:val="0"/>
              <w:tabs>
                <w:tab w:val="left" w:pos="360"/>
              </w:tabs>
              <w:autoSpaceDE w:val="0"/>
              <w:autoSpaceDN w:val="0"/>
              <w:adjustRightInd w:val="0"/>
              <w:jc w:val="center"/>
            </w:pPr>
            <w:r>
              <w:t>0</w:t>
            </w:r>
          </w:p>
        </w:tc>
      </w:tr>
      <w:tr w:rsidR="008141EC" w14:paraId="1BC313EA" w14:textId="77777777" w:rsidTr="008141EC">
        <w:tc>
          <w:tcPr>
            <w:tcW w:w="1596" w:type="dxa"/>
            <w:tcBorders>
              <w:top w:val="nil"/>
              <w:bottom w:val="nil"/>
              <w:right w:val="nil"/>
            </w:tcBorders>
          </w:tcPr>
          <w:p w14:paraId="02D565AA" w14:textId="4855E328" w:rsidR="008141EC" w:rsidRDefault="008141EC" w:rsidP="000B16C0">
            <w:pPr>
              <w:widowControl w:val="0"/>
              <w:tabs>
                <w:tab w:val="left" w:pos="360"/>
              </w:tabs>
              <w:autoSpaceDE w:val="0"/>
              <w:autoSpaceDN w:val="0"/>
              <w:adjustRightInd w:val="0"/>
            </w:pPr>
            <w:r>
              <w:t>Fixed Spray</w:t>
            </w:r>
          </w:p>
        </w:tc>
        <w:tc>
          <w:tcPr>
            <w:tcW w:w="1596" w:type="dxa"/>
            <w:tcBorders>
              <w:top w:val="nil"/>
              <w:left w:val="nil"/>
              <w:bottom w:val="nil"/>
              <w:right w:val="nil"/>
            </w:tcBorders>
          </w:tcPr>
          <w:p w14:paraId="4FA9D88A" w14:textId="325CB3AF" w:rsidR="008141EC" w:rsidRDefault="008141EC" w:rsidP="000B16C0">
            <w:pPr>
              <w:widowControl w:val="0"/>
              <w:tabs>
                <w:tab w:val="left" w:pos="360"/>
              </w:tabs>
              <w:autoSpaceDE w:val="0"/>
              <w:autoSpaceDN w:val="0"/>
              <w:adjustRightInd w:val="0"/>
            </w:pPr>
            <w:r>
              <w:t>Honeycrisp</w:t>
            </w:r>
          </w:p>
        </w:tc>
        <w:tc>
          <w:tcPr>
            <w:tcW w:w="1596" w:type="dxa"/>
            <w:tcBorders>
              <w:top w:val="nil"/>
              <w:left w:val="nil"/>
              <w:bottom w:val="nil"/>
              <w:right w:val="nil"/>
            </w:tcBorders>
          </w:tcPr>
          <w:p w14:paraId="41E4FF4D" w14:textId="21D1A724" w:rsidR="008141EC" w:rsidRDefault="008141EC" w:rsidP="00ED7C89">
            <w:pPr>
              <w:widowControl w:val="0"/>
              <w:tabs>
                <w:tab w:val="left" w:pos="360"/>
              </w:tabs>
              <w:autoSpaceDE w:val="0"/>
              <w:autoSpaceDN w:val="0"/>
              <w:adjustRightInd w:val="0"/>
              <w:jc w:val="center"/>
            </w:pPr>
            <w:r>
              <w:t>200</w:t>
            </w:r>
          </w:p>
        </w:tc>
        <w:tc>
          <w:tcPr>
            <w:tcW w:w="1596" w:type="dxa"/>
            <w:tcBorders>
              <w:top w:val="nil"/>
              <w:left w:val="nil"/>
              <w:bottom w:val="nil"/>
              <w:right w:val="nil"/>
            </w:tcBorders>
          </w:tcPr>
          <w:p w14:paraId="0922FD4D" w14:textId="2B3F48AA"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right w:val="nil"/>
            </w:tcBorders>
          </w:tcPr>
          <w:p w14:paraId="1E5C1BA9" w14:textId="25364115"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tcBorders>
          </w:tcPr>
          <w:p w14:paraId="4E9DEE12" w14:textId="316287D6" w:rsidR="008141EC" w:rsidRDefault="008141EC" w:rsidP="00ED7C89">
            <w:pPr>
              <w:widowControl w:val="0"/>
              <w:tabs>
                <w:tab w:val="left" w:pos="360"/>
              </w:tabs>
              <w:autoSpaceDE w:val="0"/>
              <w:autoSpaceDN w:val="0"/>
              <w:adjustRightInd w:val="0"/>
              <w:jc w:val="center"/>
            </w:pPr>
            <w:r>
              <w:t>0</w:t>
            </w:r>
          </w:p>
        </w:tc>
      </w:tr>
      <w:tr w:rsidR="008141EC" w14:paraId="247F5E5F" w14:textId="77777777" w:rsidTr="008141EC">
        <w:tc>
          <w:tcPr>
            <w:tcW w:w="1596" w:type="dxa"/>
            <w:tcBorders>
              <w:top w:val="nil"/>
              <w:bottom w:val="nil"/>
              <w:right w:val="nil"/>
            </w:tcBorders>
          </w:tcPr>
          <w:p w14:paraId="25DFB6A6" w14:textId="21F85957" w:rsidR="008141EC" w:rsidRDefault="008141EC" w:rsidP="000B16C0">
            <w:pPr>
              <w:widowControl w:val="0"/>
              <w:tabs>
                <w:tab w:val="left" w:pos="360"/>
              </w:tabs>
              <w:autoSpaceDE w:val="0"/>
              <w:autoSpaceDN w:val="0"/>
              <w:adjustRightInd w:val="0"/>
            </w:pPr>
            <w:r>
              <w:t>Airblast</w:t>
            </w:r>
          </w:p>
        </w:tc>
        <w:tc>
          <w:tcPr>
            <w:tcW w:w="1596" w:type="dxa"/>
            <w:tcBorders>
              <w:top w:val="nil"/>
              <w:left w:val="nil"/>
              <w:bottom w:val="nil"/>
              <w:right w:val="nil"/>
            </w:tcBorders>
          </w:tcPr>
          <w:p w14:paraId="126ED274" w14:textId="1BEE0AA2" w:rsidR="008141EC" w:rsidRDefault="008141EC" w:rsidP="000B16C0">
            <w:pPr>
              <w:widowControl w:val="0"/>
              <w:tabs>
                <w:tab w:val="left" w:pos="360"/>
              </w:tabs>
              <w:autoSpaceDE w:val="0"/>
              <w:autoSpaceDN w:val="0"/>
              <w:adjustRightInd w:val="0"/>
            </w:pPr>
            <w:r>
              <w:t>Gala</w:t>
            </w:r>
          </w:p>
        </w:tc>
        <w:tc>
          <w:tcPr>
            <w:tcW w:w="1596" w:type="dxa"/>
            <w:tcBorders>
              <w:top w:val="nil"/>
              <w:left w:val="nil"/>
              <w:bottom w:val="nil"/>
              <w:right w:val="nil"/>
            </w:tcBorders>
          </w:tcPr>
          <w:p w14:paraId="408C5EF1" w14:textId="0305E161" w:rsidR="008141EC" w:rsidRDefault="008141EC" w:rsidP="00ED7C89">
            <w:pPr>
              <w:widowControl w:val="0"/>
              <w:tabs>
                <w:tab w:val="left" w:pos="360"/>
              </w:tabs>
              <w:autoSpaceDE w:val="0"/>
              <w:autoSpaceDN w:val="0"/>
              <w:adjustRightInd w:val="0"/>
              <w:jc w:val="center"/>
            </w:pPr>
            <w:r>
              <w:t>200</w:t>
            </w:r>
          </w:p>
        </w:tc>
        <w:tc>
          <w:tcPr>
            <w:tcW w:w="1596" w:type="dxa"/>
            <w:tcBorders>
              <w:top w:val="nil"/>
              <w:left w:val="nil"/>
              <w:bottom w:val="nil"/>
              <w:right w:val="nil"/>
            </w:tcBorders>
          </w:tcPr>
          <w:p w14:paraId="6423233B" w14:textId="35D36CD6"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right w:val="nil"/>
            </w:tcBorders>
          </w:tcPr>
          <w:p w14:paraId="330B8CEA" w14:textId="2D6B8BC3"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tcBorders>
          </w:tcPr>
          <w:p w14:paraId="5D29B7DC" w14:textId="2C01EE6A" w:rsidR="008141EC" w:rsidRDefault="008141EC" w:rsidP="00ED7C89">
            <w:pPr>
              <w:widowControl w:val="0"/>
              <w:tabs>
                <w:tab w:val="left" w:pos="360"/>
              </w:tabs>
              <w:autoSpaceDE w:val="0"/>
              <w:autoSpaceDN w:val="0"/>
              <w:adjustRightInd w:val="0"/>
              <w:jc w:val="center"/>
            </w:pPr>
            <w:r>
              <w:t>0</w:t>
            </w:r>
          </w:p>
        </w:tc>
      </w:tr>
      <w:tr w:rsidR="008141EC" w14:paraId="018516FD" w14:textId="77777777" w:rsidTr="008141EC">
        <w:tc>
          <w:tcPr>
            <w:tcW w:w="1596" w:type="dxa"/>
            <w:tcBorders>
              <w:top w:val="nil"/>
              <w:bottom w:val="nil"/>
              <w:right w:val="nil"/>
            </w:tcBorders>
          </w:tcPr>
          <w:p w14:paraId="4554281F" w14:textId="13FBAB6D" w:rsidR="008141EC" w:rsidRDefault="008141EC" w:rsidP="000B16C0">
            <w:pPr>
              <w:widowControl w:val="0"/>
              <w:tabs>
                <w:tab w:val="left" w:pos="360"/>
              </w:tabs>
              <w:autoSpaceDE w:val="0"/>
              <w:autoSpaceDN w:val="0"/>
              <w:adjustRightInd w:val="0"/>
            </w:pPr>
            <w:r>
              <w:t>Airblast</w:t>
            </w:r>
          </w:p>
        </w:tc>
        <w:tc>
          <w:tcPr>
            <w:tcW w:w="1596" w:type="dxa"/>
            <w:tcBorders>
              <w:top w:val="nil"/>
              <w:left w:val="nil"/>
              <w:bottom w:val="nil"/>
              <w:right w:val="nil"/>
            </w:tcBorders>
          </w:tcPr>
          <w:p w14:paraId="4893FD49" w14:textId="161AA672" w:rsidR="008141EC" w:rsidRDefault="008141EC" w:rsidP="000B16C0">
            <w:pPr>
              <w:widowControl w:val="0"/>
              <w:tabs>
                <w:tab w:val="left" w:pos="360"/>
              </w:tabs>
              <w:autoSpaceDE w:val="0"/>
              <w:autoSpaceDN w:val="0"/>
              <w:adjustRightInd w:val="0"/>
            </w:pPr>
            <w:r>
              <w:t>McIntosh</w:t>
            </w:r>
          </w:p>
        </w:tc>
        <w:tc>
          <w:tcPr>
            <w:tcW w:w="1596" w:type="dxa"/>
            <w:tcBorders>
              <w:top w:val="nil"/>
              <w:left w:val="nil"/>
              <w:bottom w:val="nil"/>
              <w:right w:val="nil"/>
            </w:tcBorders>
          </w:tcPr>
          <w:p w14:paraId="7068B30E" w14:textId="13A3FCCA" w:rsidR="008141EC" w:rsidRDefault="008141EC" w:rsidP="00ED7C89">
            <w:pPr>
              <w:widowControl w:val="0"/>
              <w:tabs>
                <w:tab w:val="left" w:pos="360"/>
              </w:tabs>
              <w:autoSpaceDE w:val="0"/>
              <w:autoSpaceDN w:val="0"/>
              <w:adjustRightInd w:val="0"/>
              <w:jc w:val="center"/>
            </w:pPr>
            <w:r>
              <w:t>200</w:t>
            </w:r>
          </w:p>
        </w:tc>
        <w:tc>
          <w:tcPr>
            <w:tcW w:w="1596" w:type="dxa"/>
            <w:tcBorders>
              <w:top w:val="nil"/>
              <w:left w:val="nil"/>
              <w:bottom w:val="nil"/>
              <w:right w:val="nil"/>
            </w:tcBorders>
          </w:tcPr>
          <w:p w14:paraId="7BAA229C" w14:textId="0B0327BC"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right w:val="nil"/>
            </w:tcBorders>
          </w:tcPr>
          <w:p w14:paraId="48FEA4B2" w14:textId="11DD761C"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bottom w:val="nil"/>
            </w:tcBorders>
          </w:tcPr>
          <w:p w14:paraId="6C011B66" w14:textId="612431E5" w:rsidR="008141EC" w:rsidRDefault="008141EC" w:rsidP="00ED7C89">
            <w:pPr>
              <w:widowControl w:val="0"/>
              <w:tabs>
                <w:tab w:val="left" w:pos="360"/>
              </w:tabs>
              <w:autoSpaceDE w:val="0"/>
              <w:autoSpaceDN w:val="0"/>
              <w:adjustRightInd w:val="0"/>
              <w:jc w:val="center"/>
            </w:pPr>
            <w:r>
              <w:t>0</w:t>
            </w:r>
          </w:p>
        </w:tc>
      </w:tr>
      <w:tr w:rsidR="008141EC" w14:paraId="2F9744E5" w14:textId="77777777" w:rsidTr="008141EC">
        <w:tc>
          <w:tcPr>
            <w:tcW w:w="1596" w:type="dxa"/>
            <w:tcBorders>
              <w:top w:val="nil"/>
              <w:right w:val="nil"/>
            </w:tcBorders>
          </w:tcPr>
          <w:p w14:paraId="69CF8FFF" w14:textId="38EC3855" w:rsidR="008141EC" w:rsidRDefault="008141EC" w:rsidP="000B16C0">
            <w:pPr>
              <w:widowControl w:val="0"/>
              <w:tabs>
                <w:tab w:val="left" w:pos="360"/>
              </w:tabs>
              <w:autoSpaceDE w:val="0"/>
              <w:autoSpaceDN w:val="0"/>
              <w:adjustRightInd w:val="0"/>
            </w:pPr>
            <w:r>
              <w:t>Airblast</w:t>
            </w:r>
          </w:p>
        </w:tc>
        <w:tc>
          <w:tcPr>
            <w:tcW w:w="1596" w:type="dxa"/>
            <w:tcBorders>
              <w:top w:val="nil"/>
              <w:left w:val="nil"/>
              <w:right w:val="nil"/>
            </w:tcBorders>
          </w:tcPr>
          <w:p w14:paraId="5AD40A4B" w14:textId="177022BB" w:rsidR="008141EC" w:rsidRDefault="008141EC" w:rsidP="000B16C0">
            <w:pPr>
              <w:widowControl w:val="0"/>
              <w:tabs>
                <w:tab w:val="left" w:pos="360"/>
              </w:tabs>
              <w:autoSpaceDE w:val="0"/>
              <w:autoSpaceDN w:val="0"/>
              <w:adjustRightInd w:val="0"/>
            </w:pPr>
            <w:r>
              <w:t>Honeycrisp</w:t>
            </w:r>
          </w:p>
        </w:tc>
        <w:tc>
          <w:tcPr>
            <w:tcW w:w="1596" w:type="dxa"/>
            <w:tcBorders>
              <w:top w:val="nil"/>
              <w:left w:val="nil"/>
              <w:right w:val="nil"/>
            </w:tcBorders>
          </w:tcPr>
          <w:p w14:paraId="139BD0B1" w14:textId="15258DDB" w:rsidR="008141EC" w:rsidRDefault="008141EC" w:rsidP="00ED7C89">
            <w:pPr>
              <w:widowControl w:val="0"/>
              <w:tabs>
                <w:tab w:val="left" w:pos="360"/>
              </w:tabs>
              <w:autoSpaceDE w:val="0"/>
              <w:autoSpaceDN w:val="0"/>
              <w:adjustRightInd w:val="0"/>
              <w:jc w:val="center"/>
            </w:pPr>
            <w:r>
              <w:t>200</w:t>
            </w:r>
          </w:p>
        </w:tc>
        <w:tc>
          <w:tcPr>
            <w:tcW w:w="1596" w:type="dxa"/>
            <w:tcBorders>
              <w:top w:val="nil"/>
              <w:left w:val="nil"/>
              <w:right w:val="nil"/>
            </w:tcBorders>
          </w:tcPr>
          <w:p w14:paraId="5BA1C9ED" w14:textId="1318108C"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right w:val="nil"/>
            </w:tcBorders>
          </w:tcPr>
          <w:p w14:paraId="68CC68B4" w14:textId="7808C179" w:rsidR="008141EC" w:rsidRDefault="008141EC" w:rsidP="00ED7C89">
            <w:pPr>
              <w:widowControl w:val="0"/>
              <w:tabs>
                <w:tab w:val="left" w:pos="360"/>
              </w:tabs>
              <w:autoSpaceDE w:val="0"/>
              <w:autoSpaceDN w:val="0"/>
              <w:adjustRightInd w:val="0"/>
              <w:jc w:val="center"/>
            </w:pPr>
            <w:r>
              <w:t>0</w:t>
            </w:r>
          </w:p>
        </w:tc>
        <w:tc>
          <w:tcPr>
            <w:tcW w:w="1596" w:type="dxa"/>
            <w:tcBorders>
              <w:top w:val="nil"/>
              <w:left w:val="nil"/>
            </w:tcBorders>
          </w:tcPr>
          <w:p w14:paraId="04D9B8E8" w14:textId="449B12C8" w:rsidR="008141EC" w:rsidRDefault="008141EC" w:rsidP="00ED7C89">
            <w:pPr>
              <w:widowControl w:val="0"/>
              <w:tabs>
                <w:tab w:val="left" w:pos="360"/>
              </w:tabs>
              <w:autoSpaceDE w:val="0"/>
              <w:autoSpaceDN w:val="0"/>
              <w:adjustRightInd w:val="0"/>
              <w:jc w:val="center"/>
            </w:pPr>
            <w:r>
              <w:t>0</w:t>
            </w:r>
          </w:p>
        </w:tc>
      </w:tr>
    </w:tbl>
    <w:p w14:paraId="5CE83369" w14:textId="77777777" w:rsidR="00ED7C89" w:rsidRPr="00E734F6" w:rsidRDefault="00ED7C89" w:rsidP="000B16C0">
      <w:pPr>
        <w:widowControl w:val="0"/>
        <w:tabs>
          <w:tab w:val="left" w:pos="360"/>
        </w:tabs>
        <w:autoSpaceDE w:val="0"/>
        <w:autoSpaceDN w:val="0"/>
        <w:adjustRightInd w:val="0"/>
      </w:pPr>
    </w:p>
    <w:sectPr w:rsidR="00ED7C89" w:rsidRPr="00E734F6" w:rsidSect="008D1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FB"/>
    <w:rsid w:val="000005B7"/>
    <w:rsid w:val="0003334B"/>
    <w:rsid w:val="000B16C0"/>
    <w:rsid w:val="00123334"/>
    <w:rsid w:val="001442B2"/>
    <w:rsid w:val="001871AB"/>
    <w:rsid w:val="001A4BE1"/>
    <w:rsid w:val="00252D9A"/>
    <w:rsid w:val="002557FE"/>
    <w:rsid w:val="002563F0"/>
    <w:rsid w:val="00270C1C"/>
    <w:rsid w:val="002F7E07"/>
    <w:rsid w:val="0031240F"/>
    <w:rsid w:val="00337AB1"/>
    <w:rsid w:val="003426C9"/>
    <w:rsid w:val="00357530"/>
    <w:rsid w:val="00385F6D"/>
    <w:rsid w:val="003942AA"/>
    <w:rsid w:val="003D2EEA"/>
    <w:rsid w:val="003D79B3"/>
    <w:rsid w:val="003E600B"/>
    <w:rsid w:val="003F206F"/>
    <w:rsid w:val="004520C6"/>
    <w:rsid w:val="004723FD"/>
    <w:rsid w:val="00480A37"/>
    <w:rsid w:val="00492FF7"/>
    <w:rsid w:val="0049441C"/>
    <w:rsid w:val="004E52F4"/>
    <w:rsid w:val="004F415C"/>
    <w:rsid w:val="005179C6"/>
    <w:rsid w:val="00520CB9"/>
    <w:rsid w:val="005210EC"/>
    <w:rsid w:val="00547853"/>
    <w:rsid w:val="005A582D"/>
    <w:rsid w:val="005A6FB4"/>
    <w:rsid w:val="005C0FE7"/>
    <w:rsid w:val="005C6876"/>
    <w:rsid w:val="005D67A7"/>
    <w:rsid w:val="005F1D8A"/>
    <w:rsid w:val="005F6B10"/>
    <w:rsid w:val="00611EF3"/>
    <w:rsid w:val="006314A4"/>
    <w:rsid w:val="00664771"/>
    <w:rsid w:val="00690153"/>
    <w:rsid w:val="006914E7"/>
    <w:rsid w:val="006B259A"/>
    <w:rsid w:val="006F6BF4"/>
    <w:rsid w:val="00706274"/>
    <w:rsid w:val="0076371C"/>
    <w:rsid w:val="00767580"/>
    <w:rsid w:val="00767F45"/>
    <w:rsid w:val="007771C1"/>
    <w:rsid w:val="007842DD"/>
    <w:rsid w:val="00784A1A"/>
    <w:rsid w:val="007B1061"/>
    <w:rsid w:val="0081150D"/>
    <w:rsid w:val="008141EC"/>
    <w:rsid w:val="008902D0"/>
    <w:rsid w:val="008D16B8"/>
    <w:rsid w:val="008D44EF"/>
    <w:rsid w:val="008D5C60"/>
    <w:rsid w:val="008F56FC"/>
    <w:rsid w:val="00953164"/>
    <w:rsid w:val="009E67BF"/>
    <w:rsid w:val="00B21A8C"/>
    <w:rsid w:val="00B22416"/>
    <w:rsid w:val="00B6628F"/>
    <w:rsid w:val="00BA6AA4"/>
    <w:rsid w:val="00BA6FE9"/>
    <w:rsid w:val="00BC2086"/>
    <w:rsid w:val="00C051EF"/>
    <w:rsid w:val="00C70950"/>
    <w:rsid w:val="00CD0810"/>
    <w:rsid w:val="00D121E4"/>
    <w:rsid w:val="00D13744"/>
    <w:rsid w:val="00D2355E"/>
    <w:rsid w:val="00D4043A"/>
    <w:rsid w:val="00D50BF8"/>
    <w:rsid w:val="00D54574"/>
    <w:rsid w:val="00D96574"/>
    <w:rsid w:val="00DE4F32"/>
    <w:rsid w:val="00E26F07"/>
    <w:rsid w:val="00E54FDE"/>
    <w:rsid w:val="00E66AAD"/>
    <w:rsid w:val="00E71AA2"/>
    <w:rsid w:val="00E734F6"/>
    <w:rsid w:val="00EC5265"/>
    <w:rsid w:val="00ED7C89"/>
    <w:rsid w:val="00EE6FEE"/>
    <w:rsid w:val="00F92AFB"/>
    <w:rsid w:val="00F95096"/>
    <w:rsid w:val="00FC69F8"/>
    <w:rsid w:val="00FC778D"/>
    <w:rsid w:val="00FE0DFD"/>
    <w:rsid w:val="00FE6A70"/>
    <w:rsid w:val="00FF2EE1"/>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83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71C"/>
    <w:rPr>
      <w:rFonts w:ascii="Lucida Grande" w:hAnsi="Lucida Grande" w:cs="Lucida Grande"/>
      <w:sz w:val="18"/>
      <w:szCs w:val="18"/>
    </w:rPr>
  </w:style>
  <w:style w:type="character" w:styleId="Hyperlink">
    <w:name w:val="Hyperlink"/>
    <w:basedOn w:val="DefaultParagraphFont"/>
    <w:uiPriority w:val="99"/>
    <w:semiHidden/>
    <w:unhideWhenUsed/>
    <w:rsid w:val="00337AB1"/>
    <w:rPr>
      <w:color w:val="0000FF"/>
      <w:u w:val="single"/>
    </w:rPr>
  </w:style>
  <w:style w:type="table" w:styleId="TableGrid">
    <w:name w:val="Table Grid"/>
    <w:basedOn w:val="TableNormal"/>
    <w:uiPriority w:val="59"/>
    <w:rsid w:val="00ED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71C"/>
    <w:rPr>
      <w:rFonts w:ascii="Lucida Grande" w:hAnsi="Lucida Grande" w:cs="Lucida Grande"/>
      <w:sz w:val="18"/>
      <w:szCs w:val="18"/>
    </w:rPr>
  </w:style>
  <w:style w:type="character" w:styleId="Hyperlink">
    <w:name w:val="Hyperlink"/>
    <w:basedOn w:val="DefaultParagraphFont"/>
    <w:uiPriority w:val="99"/>
    <w:semiHidden/>
    <w:unhideWhenUsed/>
    <w:rsid w:val="00337AB1"/>
    <w:rPr>
      <w:color w:val="0000FF"/>
      <w:u w:val="single"/>
    </w:rPr>
  </w:style>
  <w:style w:type="table" w:styleId="TableGrid">
    <w:name w:val="Table Grid"/>
    <w:basedOn w:val="TableNormal"/>
    <w:uiPriority w:val="59"/>
    <w:rsid w:val="00ED7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Users:ama4:Library:Application%20Support:Microsoft:Office:User%20Templates:My%20Templates:Normal.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HD:Users:ama4:Documents:AMA%20Files:Current%20Projects:Field%20Data:2015%20Field%20Data:2015%20Trap%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Trap Captures 2015</a:t>
            </a:r>
          </a:p>
          <a:p>
            <a:pPr>
              <a:defRPr/>
            </a:pPr>
            <a:r>
              <a:rPr lang="en-US" sz="1400"/>
              <a:t>Fowler</a:t>
            </a:r>
            <a:r>
              <a:rPr lang="en-US" sz="1400" baseline="0"/>
              <a:t> Fixed-Spray Block</a:t>
            </a:r>
            <a:endParaRPr lang="en-US" sz="1400"/>
          </a:p>
        </c:rich>
      </c:tx>
      <c:layout/>
      <c:overlay val="0"/>
    </c:title>
    <c:autoTitleDeleted val="0"/>
    <c:plotArea>
      <c:layout/>
      <c:lineChart>
        <c:grouping val="standard"/>
        <c:varyColors val="0"/>
        <c:ser>
          <c:idx val="0"/>
          <c:order val="0"/>
          <c:tx>
            <c:strRef>
              <c:f>Fowler!$A$16</c:f>
              <c:strCache>
                <c:ptCount val="1"/>
                <c:pt idx="0">
                  <c:v>CM</c:v>
                </c:pt>
              </c:strCache>
            </c:strRef>
          </c:tx>
          <c:spPr>
            <a:ln w="25400"/>
          </c:spPr>
          <c:cat>
            <c:numRef>
              <c:f>Fowler!$B$15:$S$15</c:f>
              <c:numCache>
                <c:formatCode>m/d</c:formatCode>
                <c:ptCount val="18"/>
                <c:pt idx="0">
                  <c:v>42129.0</c:v>
                </c:pt>
                <c:pt idx="1">
                  <c:v>42136.0</c:v>
                </c:pt>
                <c:pt idx="2">
                  <c:v>42143.0</c:v>
                </c:pt>
                <c:pt idx="3">
                  <c:v>42151.0</c:v>
                </c:pt>
                <c:pt idx="4">
                  <c:v>42159.0</c:v>
                </c:pt>
                <c:pt idx="5">
                  <c:v>42167.0</c:v>
                </c:pt>
                <c:pt idx="6">
                  <c:v>42174.0</c:v>
                </c:pt>
                <c:pt idx="7">
                  <c:v>42181.0</c:v>
                </c:pt>
                <c:pt idx="8">
                  <c:v>42187.0</c:v>
                </c:pt>
                <c:pt idx="9">
                  <c:v>42195.0</c:v>
                </c:pt>
                <c:pt idx="10">
                  <c:v>42202.0</c:v>
                </c:pt>
                <c:pt idx="11">
                  <c:v>42209.0</c:v>
                </c:pt>
                <c:pt idx="12">
                  <c:v>42213.0</c:v>
                </c:pt>
                <c:pt idx="13">
                  <c:v>42223.0</c:v>
                </c:pt>
                <c:pt idx="14">
                  <c:v>42229.0</c:v>
                </c:pt>
                <c:pt idx="15">
                  <c:v>42237.0</c:v>
                </c:pt>
                <c:pt idx="16">
                  <c:v>42242.0</c:v>
                </c:pt>
                <c:pt idx="17">
                  <c:v>42254.0</c:v>
                </c:pt>
              </c:numCache>
            </c:numRef>
          </c:cat>
          <c:val>
            <c:numRef>
              <c:f>Fowler!$B$16:$S$16</c:f>
              <c:numCache>
                <c:formatCode>0.0</c:formatCode>
                <c:ptCount val="18"/>
                <c:pt idx="2">
                  <c:v>0.0</c:v>
                </c:pt>
                <c:pt idx="3">
                  <c:v>0.0</c:v>
                </c:pt>
                <c:pt idx="4">
                  <c:v>0.0</c:v>
                </c:pt>
                <c:pt idx="5">
                  <c:v>0.0</c:v>
                </c:pt>
                <c:pt idx="6">
                  <c:v>0.0</c:v>
                </c:pt>
                <c:pt idx="7">
                  <c:v>0.0</c:v>
                </c:pt>
                <c:pt idx="8">
                  <c:v>0.0</c:v>
                </c:pt>
                <c:pt idx="9">
                  <c:v>0.0</c:v>
                </c:pt>
                <c:pt idx="10">
                  <c:v>0.0</c:v>
                </c:pt>
                <c:pt idx="11">
                  <c:v>0.0</c:v>
                </c:pt>
                <c:pt idx="12">
                  <c:v>0.0</c:v>
                </c:pt>
                <c:pt idx="13">
                  <c:v>0.0</c:v>
                </c:pt>
                <c:pt idx="14">
                  <c:v>0.0</c:v>
                </c:pt>
                <c:pt idx="15">
                  <c:v>0.0</c:v>
                </c:pt>
                <c:pt idx="16">
                  <c:v>0.0</c:v>
                </c:pt>
                <c:pt idx="17">
                  <c:v>0.0</c:v>
                </c:pt>
              </c:numCache>
            </c:numRef>
          </c:val>
          <c:smooth val="0"/>
        </c:ser>
        <c:ser>
          <c:idx val="1"/>
          <c:order val="1"/>
          <c:tx>
            <c:strRef>
              <c:f>Fowler!$A$17</c:f>
              <c:strCache>
                <c:ptCount val="1"/>
                <c:pt idx="0">
                  <c:v>OFM</c:v>
                </c:pt>
              </c:strCache>
            </c:strRef>
          </c:tx>
          <c:spPr>
            <a:ln w="25400"/>
          </c:spPr>
          <c:cat>
            <c:numRef>
              <c:f>Fowler!$B$15:$S$15</c:f>
              <c:numCache>
                <c:formatCode>m/d</c:formatCode>
                <c:ptCount val="18"/>
                <c:pt idx="0">
                  <c:v>42129.0</c:v>
                </c:pt>
                <c:pt idx="1">
                  <c:v>42136.0</c:v>
                </c:pt>
                <c:pt idx="2">
                  <c:v>42143.0</c:v>
                </c:pt>
                <c:pt idx="3">
                  <c:v>42151.0</c:v>
                </c:pt>
                <c:pt idx="4">
                  <c:v>42159.0</c:v>
                </c:pt>
                <c:pt idx="5">
                  <c:v>42167.0</c:v>
                </c:pt>
                <c:pt idx="6">
                  <c:v>42174.0</c:v>
                </c:pt>
                <c:pt idx="7">
                  <c:v>42181.0</c:v>
                </c:pt>
                <c:pt idx="8">
                  <c:v>42187.0</c:v>
                </c:pt>
                <c:pt idx="9">
                  <c:v>42195.0</c:v>
                </c:pt>
                <c:pt idx="10">
                  <c:v>42202.0</c:v>
                </c:pt>
                <c:pt idx="11">
                  <c:v>42209.0</c:v>
                </c:pt>
                <c:pt idx="12">
                  <c:v>42213.0</c:v>
                </c:pt>
                <c:pt idx="13">
                  <c:v>42223.0</c:v>
                </c:pt>
                <c:pt idx="14">
                  <c:v>42229.0</c:v>
                </c:pt>
                <c:pt idx="15">
                  <c:v>42237.0</c:v>
                </c:pt>
                <c:pt idx="16">
                  <c:v>42242.0</c:v>
                </c:pt>
                <c:pt idx="17">
                  <c:v>42254.0</c:v>
                </c:pt>
              </c:numCache>
            </c:numRef>
          </c:cat>
          <c:val>
            <c:numRef>
              <c:f>Fowler!$B$17:$S$17</c:f>
              <c:numCache>
                <c:formatCode>0.0</c:formatCode>
                <c:ptCount val="18"/>
                <c:pt idx="1">
                  <c:v>0.0</c:v>
                </c:pt>
                <c:pt idx="2">
                  <c:v>0.0</c:v>
                </c:pt>
                <c:pt idx="3">
                  <c:v>0.0</c:v>
                </c:pt>
                <c:pt idx="4">
                  <c:v>0.0</c:v>
                </c:pt>
                <c:pt idx="5">
                  <c:v>0.0</c:v>
                </c:pt>
                <c:pt idx="6">
                  <c:v>1.0</c:v>
                </c:pt>
                <c:pt idx="7">
                  <c:v>0.0</c:v>
                </c:pt>
                <c:pt idx="8">
                  <c:v>0.0</c:v>
                </c:pt>
                <c:pt idx="9">
                  <c:v>0.0</c:v>
                </c:pt>
                <c:pt idx="10">
                  <c:v>0.0</c:v>
                </c:pt>
                <c:pt idx="11">
                  <c:v>0.0</c:v>
                </c:pt>
                <c:pt idx="12">
                  <c:v>0.0</c:v>
                </c:pt>
                <c:pt idx="13">
                  <c:v>0.0</c:v>
                </c:pt>
                <c:pt idx="14">
                  <c:v>0.0</c:v>
                </c:pt>
                <c:pt idx="15">
                  <c:v>0.0</c:v>
                </c:pt>
                <c:pt idx="16">
                  <c:v>0.0</c:v>
                </c:pt>
                <c:pt idx="17">
                  <c:v>0.0</c:v>
                </c:pt>
              </c:numCache>
            </c:numRef>
          </c:val>
          <c:smooth val="0"/>
        </c:ser>
        <c:ser>
          <c:idx val="2"/>
          <c:order val="2"/>
          <c:tx>
            <c:strRef>
              <c:f>Fowler!$A$18</c:f>
              <c:strCache>
                <c:ptCount val="1"/>
                <c:pt idx="0">
                  <c:v>OBLR</c:v>
                </c:pt>
              </c:strCache>
            </c:strRef>
          </c:tx>
          <c:spPr>
            <a:ln w="25400"/>
          </c:spPr>
          <c:cat>
            <c:numRef>
              <c:f>Fowler!$B$15:$S$15</c:f>
              <c:numCache>
                <c:formatCode>m/d</c:formatCode>
                <c:ptCount val="18"/>
                <c:pt idx="0">
                  <c:v>42129.0</c:v>
                </c:pt>
                <c:pt idx="1">
                  <c:v>42136.0</c:v>
                </c:pt>
                <c:pt idx="2">
                  <c:v>42143.0</c:v>
                </c:pt>
                <c:pt idx="3">
                  <c:v>42151.0</c:v>
                </c:pt>
                <c:pt idx="4">
                  <c:v>42159.0</c:v>
                </c:pt>
                <c:pt idx="5">
                  <c:v>42167.0</c:v>
                </c:pt>
                <c:pt idx="6">
                  <c:v>42174.0</c:v>
                </c:pt>
                <c:pt idx="7">
                  <c:v>42181.0</c:v>
                </c:pt>
                <c:pt idx="8">
                  <c:v>42187.0</c:v>
                </c:pt>
                <c:pt idx="9">
                  <c:v>42195.0</c:v>
                </c:pt>
                <c:pt idx="10">
                  <c:v>42202.0</c:v>
                </c:pt>
                <c:pt idx="11">
                  <c:v>42209.0</c:v>
                </c:pt>
                <c:pt idx="12">
                  <c:v>42213.0</c:v>
                </c:pt>
                <c:pt idx="13">
                  <c:v>42223.0</c:v>
                </c:pt>
                <c:pt idx="14">
                  <c:v>42229.0</c:v>
                </c:pt>
                <c:pt idx="15">
                  <c:v>42237.0</c:v>
                </c:pt>
                <c:pt idx="16">
                  <c:v>42242.0</c:v>
                </c:pt>
                <c:pt idx="17">
                  <c:v>42254.0</c:v>
                </c:pt>
              </c:numCache>
            </c:numRef>
          </c:cat>
          <c:val>
            <c:numRef>
              <c:f>Fowler!$B$18:$S$18</c:f>
              <c:numCache>
                <c:formatCode>0.0</c:formatCode>
                <c:ptCount val="18"/>
                <c:pt idx="5">
                  <c:v>2.5</c:v>
                </c:pt>
                <c:pt idx="6">
                  <c:v>3.0</c:v>
                </c:pt>
                <c:pt idx="7">
                  <c:v>2.5</c:v>
                </c:pt>
                <c:pt idx="8">
                  <c:v>1.0</c:v>
                </c:pt>
                <c:pt idx="9">
                  <c:v>0.5</c:v>
                </c:pt>
                <c:pt idx="10">
                  <c:v>0.0</c:v>
                </c:pt>
                <c:pt idx="11">
                  <c:v>0.5</c:v>
                </c:pt>
                <c:pt idx="12">
                  <c:v>0.0</c:v>
                </c:pt>
                <c:pt idx="13">
                  <c:v>6.5</c:v>
                </c:pt>
                <c:pt idx="14">
                  <c:v>2.5</c:v>
                </c:pt>
                <c:pt idx="15">
                  <c:v>3.0</c:v>
                </c:pt>
                <c:pt idx="16">
                  <c:v>4.5</c:v>
                </c:pt>
                <c:pt idx="17">
                  <c:v>2.5</c:v>
                </c:pt>
              </c:numCache>
            </c:numRef>
          </c:val>
          <c:smooth val="0"/>
        </c:ser>
        <c:dLbls>
          <c:showLegendKey val="0"/>
          <c:showVal val="0"/>
          <c:showCatName val="0"/>
          <c:showSerName val="0"/>
          <c:showPercent val="0"/>
          <c:showBubbleSize val="0"/>
        </c:dLbls>
        <c:marker val="1"/>
        <c:smooth val="0"/>
        <c:axId val="2137333144"/>
        <c:axId val="-2129850664"/>
      </c:lineChart>
      <c:dateAx>
        <c:axId val="2137333144"/>
        <c:scaling>
          <c:orientation val="minMax"/>
        </c:scaling>
        <c:delete val="0"/>
        <c:axPos val="b"/>
        <c:numFmt formatCode="m/d" sourceLinked="1"/>
        <c:majorTickMark val="out"/>
        <c:minorTickMark val="none"/>
        <c:tickLblPos val="nextTo"/>
        <c:txPr>
          <a:bodyPr rot="-5400000" vert="horz"/>
          <a:lstStyle/>
          <a:p>
            <a:pPr>
              <a:defRPr/>
            </a:pPr>
            <a:endParaRPr lang="en-US"/>
          </a:p>
        </c:txPr>
        <c:crossAx val="-2129850664"/>
        <c:crosses val="autoZero"/>
        <c:auto val="1"/>
        <c:lblOffset val="100"/>
        <c:baseTimeUnit val="days"/>
      </c:dateAx>
      <c:valAx>
        <c:axId val="-2129850664"/>
        <c:scaling>
          <c:orientation val="minMax"/>
        </c:scaling>
        <c:delete val="0"/>
        <c:axPos val="l"/>
        <c:majorGridlines/>
        <c:title>
          <c:tx>
            <c:rich>
              <a:bodyPr rot="0" vert="horz" anchor="ctr" anchorCtr="1"/>
              <a:lstStyle/>
              <a:p>
                <a:pPr>
                  <a:defRPr sz="1200"/>
                </a:pPr>
                <a:r>
                  <a:rPr lang="en-US" sz="1200"/>
                  <a:t>Avg #/</a:t>
                </a:r>
              </a:p>
              <a:p>
                <a:pPr>
                  <a:defRPr sz="1200"/>
                </a:pPr>
                <a:r>
                  <a:rPr lang="en-US" sz="1200"/>
                  <a:t>trap</a:t>
                </a:r>
              </a:p>
            </c:rich>
          </c:tx>
          <c:layout/>
          <c:overlay val="0"/>
        </c:title>
        <c:numFmt formatCode="0.0" sourceLinked="1"/>
        <c:majorTickMark val="out"/>
        <c:minorTickMark val="none"/>
        <c:tickLblPos val="nextTo"/>
        <c:crossAx val="21373331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EA4B-68A3-8942-904B-AF6F99F4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47</TotalTime>
  <Pages>2</Pages>
  <Words>562</Words>
  <Characters>3208</Characters>
  <Application>Microsoft Macintosh Word</Application>
  <DocSecurity>0</DocSecurity>
  <Lines>26</Lines>
  <Paragraphs>7</Paragraphs>
  <ScaleCrop>false</ScaleCrop>
  <Company>Cornell University</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Agnello</dc:creator>
  <cp:keywords/>
  <dc:description/>
  <cp:lastModifiedBy>Arthur Agnello</cp:lastModifiedBy>
  <cp:revision>8</cp:revision>
  <dcterms:created xsi:type="dcterms:W3CDTF">2016-02-04T17:55:00Z</dcterms:created>
  <dcterms:modified xsi:type="dcterms:W3CDTF">2016-02-04T19:13:00Z</dcterms:modified>
</cp:coreProperties>
</file>