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823" w:tblpY="10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23"/>
        <w:gridCol w:w="2857"/>
      </w:tblGrid>
      <w:tr w:rsidR="00094FC2" w:rsidRPr="00094FC2" w:rsidTr="00094FC2">
        <w:trPr>
          <w:trHeight w:val="1157"/>
        </w:trPr>
        <w:tc>
          <w:tcPr>
            <w:tcW w:w="1823" w:type="dxa"/>
          </w:tcPr>
          <w:p w:rsidR="00094FC2" w:rsidRDefault="00094FC2" w:rsidP="00191A5B">
            <w:pPr>
              <w:rPr>
                <w:sz w:val="18"/>
                <w:szCs w:val="18"/>
              </w:rPr>
            </w:pPr>
            <w:r>
              <w:rPr>
                <w:noProof/>
              </w:rPr>
              <w:drawing>
                <wp:anchor distT="0" distB="0" distL="114300" distR="114300" simplePos="0" relativeHeight="251663360" behindDoc="1" locked="0" layoutInCell="1" allowOverlap="1" wp14:anchorId="521B895C" wp14:editId="05718197">
                  <wp:simplePos x="0" y="0"/>
                  <wp:positionH relativeFrom="column">
                    <wp:posOffset>-3175</wp:posOffset>
                  </wp:positionH>
                  <wp:positionV relativeFrom="paragraph">
                    <wp:posOffset>1270</wp:posOffset>
                  </wp:positionV>
                  <wp:extent cx="1089025" cy="704850"/>
                  <wp:effectExtent l="0" t="0" r="0" b="0"/>
                  <wp:wrapTight wrapText="bothSides">
                    <wp:wrapPolygon edited="0">
                      <wp:start x="0" y="0"/>
                      <wp:lineTo x="0" y="21016"/>
                      <wp:lineTo x="21159" y="21016"/>
                      <wp:lineTo x="21159" y="0"/>
                      <wp:lineTo x="0" y="0"/>
                    </wp:wrapPolygon>
                  </wp:wrapTight>
                  <wp:docPr id="2" name="Picture 2" descr="C:\Users\vws7\Desktop\Final Logo Variations\SF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ws7\Desktop\Final Logo Variations\SFP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90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57" w:type="dxa"/>
          </w:tcPr>
          <w:p w:rsidR="00094FC2" w:rsidRPr="007C24B3" w:rsidRDefault="00094FC2" w:rsidP="00191A5B">
            <w:pPr>
              <w:rPr>
                <w:rFonts w:ascii="Calibri" w:hAnsi="Calibri" w:cs="Calibri"/>
                <w:sz w:val="18"/>
                <w:szCs w:val="18"/>
              </w:rPr>
            </w:pPr>
            <w:r>
              <w:rPr>
                <w:rFonts w:ascii="Calibri" w:hAnsi="Calibri" w:cs="Calibri"/>
                <w:sz w:val="18"/>
                <w:szCs w:val="18"/>
              </w:rPr>
              <w:t>(P)</w:t>
            </w:r>
            <w:r w:rsidRPr="007C24B3">
              <w:rPr>
                <w:rFonts w:ascii="Calibri" w:hAnsi="Calibri" w:cs="Calibri"/>
                <w:sz w:val="18"/>
                <w:szCs w:val="18"/>
              </w:rPr>
              <w:t xml:space="preserve"> 607.255.9227</w:t>
            </w:r>
            <w:r>
              <w:rPr>
                <w:rFonts w:ascii="Calibri" w:hAnsi="Calibri" w:cs="Calibri"/>
                <w:sz w:val="18"/>
                <w:szCs w:val="18"/>
              </w:rPr>
              <w:t xml:space="preserve">   (F) </w:t>
            </w:r>
            <w:r w:rsidRPr="007C24B3">
              <w:rPr>
                <w:rFonts w:ascii="Calibri" w:hAnsi="Calibri" w:cs="Calibri"/>
                <w:sz w:val="18"/>
                <w:szCs w:val="18"/>
              </w:rPr>
              <w:t>607.255.0599</w:t>
            </w:r>
          </w:p>
          <w:p w:rsidR="00094FC2" w:rsidRPr="007C24B3" w:rsidRDefault="00094FC2" w:rsidP="00191A5B">
            <w:pPr>
              <w:rPr>
                <w:rFonts w:ascii="Calibri" w:hAnsi="Calibri" w:cs="Calibri"/>
                <w:sz w:val="18"/>
                <w:szCs w:val="18"/>
              </w:rPr>
            </w:pPr>
            <w:r w:rsidRPr="007C24B3">
              <w:rPr>
                <w:rFonts w:ascii="Calibri" w:hAnsi="Calibri" w:cs="Calibri"/>
                <w:sz w:val="18"/>
                <w:szCs w:val="18"/>
              </w:rPr>
              <w:t>smallfarmsprogram</w:t>
            </w:r>
            <w:hyperlink r:id="rId6" w:history="1">
              <w:r w:rsidRPr="007C24B3">
                <w:rPr>
                  <w:rStyle w:val="Hyperlink"/>
                  <w:rFonts w:ascii="Calibri" w:hAnsi="Calibri" w:cs="Calibri"/>
                  <w:color w:val="auto"/>
                  <w:sz w:val="18"/>
                  <w:szCs w:val="18"/>
                  <w:u w:val="none"/>
                </w:rPr>
                <w:t>@cornell.edu</w:t>
              </w:r>
            </w:hyperlink>
          </w:p>
          <w:p w:rsidR="00094FC2" w:rsidRDefault="00F77DA3" w:rsidP="00191A5B">
            <w:pPr>
              <w:rPr>
                <w:rFonts w:ascii="Calibri" w:hAnsi="Calibri" w:cs="Calibri"/>
                <w:sz w:val="18"/>
                <w:szCs w:val="18"/>
              </w:rPr>
            </w:pPr>
            <w:hyperlink r:id="rId7" w:history="1">
              <w:r w:rsidR="00094FC2" w:rsidRPr="007A40CF">
                <w:rPr>
                  <w:rStyle w:val="Hyperlink"/>
                  <w:rFonts w:ascii="Calibri" w:hAnsi="Calibri" w:cs="Calibri"/>
                  <w:sz w:val="18"/>
                  <w:szCs w:val="18"/>
                </w:rPr>
                <w:t>www.smallfarms.cornell.edu</w:t>
              </w:r>
            </w:hyperlink>
          </w:p>
          <w:p w:rsidR="00094FC2" w:rsidRPr="007C24B3" w:rsidRDefault="00094FC2" w:rsidP="00191A5B">
            <w:pPr>
              <w:rPr>
                <w:rFonts w:ascii="Calibri" w:hAnsi="Calibri" w:cs="Calibri"/>
                <w:sz w:val="18"/>
                <w:szCs w:val="18"/>
              </w:rPr>
            </w:pPr>
            <w:r w:rsidRPr="007C24B3">
              <w:rPr>
                <w:rFonts w:ascii="Calibri" w:hAnsi="Calibri" w:cs="Calibri"/>
                <w:sz w:val="18"/>
                <w:szCs w:val="18"/>
              </w:rPr>
              <w:t>15A Plant Science Building</w:t>
            </w:r>
          </w:p>
          <w:p w:rsidR="00094FC2" w:rsidRPr="00094FC2" w:rsidRDefault="00094FC2" w:rsidP="00191A5B">
            <w:pPr>
              <w:rPr>
                <w:rFonts w:ascii="Calibri" w:hAnsi="Calibri" w:cs="Calibri"/>
                <w:sz w:val="18"/>
                <w:szCs w:val="18"/>
              </w:rPr>
            </w:pPr>
            <w:r w:rsidRPr="007C24B3">
              <w:rPr>
                <w:rFonts w:ascii="Calibri" w:hAnsi="Calibri" w:cs="Calibri"/>
                <w:sz w:val="18"/>
                <w:szCs w:val="18"/>
              </w:rPr>
              <w:t>Ithaca, NY 14853</w:t>
            </w:r>
          </w:p>
        </w:tc>
      </w:tr>
    </w:tbl>
    <w:p w:rsidR="0051251A" w:rsidRDefault="00302C51">
      <w:r>
        <w:rPr>
          <w:noProof/>
        </w:rPr>
        <w:drawing>
          <wp:anchor distT="0" distB="0" distL="114300" distR="114300" simplePos="0" relativeHeight="251664384" behindDoc="1" locked="0" layoutInCell="1" allowOverlap="1" wp14:anchorId="231E69EC" wp14:editId="60D248B7">
            <wp:simplePos x="0" y="0"/>
            <wp:positionH relativeFrom="column">
              <wp:posOffset>881380</wp:posOffset>
            </wp:positionH>
            <wp:positionV relativeFrom="paragraph">
              <wp:posOffset>9525</wp:posOffset>
            </wp:positionV>
            <wp:extent cx="2742565" cy="779780"/>
            <wp:effectExtent l="0" t="0" r="635" b="1270"/>
            <wp:wrapTight wrapText="bothSides">
              <wp:wrapPolygon edited="0">
                <wp:start x="0" y="0"/>
                <wp:lineTo x="0" y="21107"/>
                <wp:lineTo x="21455" y="21107"/>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ll-CC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565" cy="779780"/>
                    </a:xfrm>
                    <a:prstGeom prst="rect">
                      <a:avLst/>
                    </a:prstGeom>
                  </pic:spPr>
                </pic:pic>
              </a:graphicData>
            </a:graphic>
            <wp14:sizeRelH relativeFrom="margin">
              <wp14:pctWidth>0</wp14:pctWidth>
            </wp14:sizeRelH>
            <wp14:sizeRelV relativeFrom="margin">
              <wp14:pctHeight>0</wp14:pctHeight>
            </wp14:sizeRelV>
          </wp:anchor>
        </w:drawing>
      </w:r>
    </w:p>
    <w:p w:rsidR="00F57876" w:rsidRDefault="00F57876"/>
    <w:p w:rsidR="00F57876" w:rsidRDefault="00F57876"/>
    <w:p w:rsidR="00F57876" w:rsidRDefault="00F57876"/>
    <w:p w:rsidR="00302C51" w:rsidRDefault="00302C51" w:rsidP="00302C51">
      <w:pPr>
        <w:jc w:val="center"/>
        <w:rPr>
          <w:rFonts w:asciiTheme="minorHAnsi" w:hAnsiTheme="minorHAnsi"/>
          <w:b/>
          <w:sz w:val="36"/>
          <w:szCs w:val="36"/>
        </w:rPr>
      </w:pPr>
    </w:p>
    <w:p w:rsidR="00302C51" w:rsidRPr="00302C51" w:rsidRDefault="00302C51" w:rsidP="00302C51">
      <w:pPr>
        <w:jc w:val="center"/>
        <w:rPr>
          <w:rFonts w:asciiTheme="minorHAnsi" w:hAnsiTheme="minorHAnsi"/>
          <w:b/>
          <w:sz w:val="36"/>
          <w:szCs w:val="36"/>
        </w:rPr>
      </w:pPr>
      <w:r w:rsidRPr="00302C51">
        <w:rPr>
          <w:rFonts w:asciiTheme="minorHAnsi" w:hAnsiTheme="minorHAnsi"/>
          <w:b/>
          <w:sz w:val="36"/>
          <w:szCs w:val="36"/>
        </w:rPr>
        <w:t>2014 NY SMALL FARM</w:t>
      </w:r>
      <w:r w:rsidR="009C60C1">
        <w:rPr>
          <w:rFonts w:asciiTheme="minorHAnsi" w:hAnsiTheme="minorHAnsi"/>
          <w:b/>
          <w:sz w:val="36"/>
          <w:szCs w:val="36"/>
        </w:rPr>
        <w:t xml:space="preserve"> </w:t>
      </w:r>
      <w:r w:rsidR="009C60C1" w:rsidRPr="009C60C1">
        <w:rPr>
          <w:rFonts w:asciiTheme="minorHAnsi" w:hAnsiTheme="minorHAnsi"/>
          <w:b/>
          <w:sz w:val="36"/>
          <w:szCs w:val="36"/>
          <w:u w:val="single"/>
        </w:rPr>
        <w:t>STATEWIDE</w:t>
      </w:r>
      <w:r w:rsidRPr="00302C51">
        <w:rPr>
          <w:rFonts w:asciiTheme="minorHAnsi" w:hAnsiTheme="minorHAnsi"/>
          <w:b/>
          <w:sz w:val="36"/>
          <w:szCs w:val="36"/>
        </w:rPr>
        <w:t xml:space="preserve"> </w:t>
      </w:r>
      <w:r w:rsidR="004A142E">
        <w:rPr>
          <w:rFonts w:asciiTheme="minorHAnsi" w:hAnsiTheme="minorHAnsi"/>
          <w:b/>
          <w:sz w:val="36"/>
          <w:szCs w:val="36"/>
        </w:rPr>
        <w:t>SURVEY RESULTS</w:t>
      </w:r>
    </w:p>
    <w:p w:rsidR="00302C51" w:rsidRPr="00302C51" w:rsidRDefault="00302C51" w:rsidP="00302C51">
      <w:pPr>
        <w:jc w:val="center"/>
        <w:rPr>
          <w:rFonts w:asciiTheme="minorHAnsi" w:hAnsiTheme="minorHAnsi"/>
          <w:b/>
          <w:sz w:val="32"/>
          <w:szCs w:val="32"/>
        </w:rPr>
      </w:pPr>
      <w:r w:rsidRPr="00302C51">
        <w:rPr>
          <w:rFonts w:asciiTheme="minorHAnsi" w:hAnsiTheme="minorHAnsi"/>
          <w:b/>
          <w:sz w:val="32"/>
          <w:szCs w:val="32"/>
        </w:rPr>
        <w:t>Beyond Direct Marketing: Exploring New Ways to Sell</w:t>
      </w:r>
    </w:p>
    <w:p w:rsidR="00F57876" w:rsidRPr="00302C51" w:rsidRDefault="00807620">
      <w:pPr>
        <w:rPr>
          <w:rFonts w:asciiTheme="minorHAnsi" w:hAnsiTheme="minorHAnsi"/>
        </w:rPr>
      </w:pPr>
      <w:r>
        <w:rPr>
          <w:rFonts w:asciiTheme="minorHAnsi" w:hAnsiTheme="minorHAnsi"/>
          <w:b/>
          <w:noProof/>
        </w:rPr>
        <w:drawing>
          <wp:anchor distT="0" distB="0" distL="114300" distR="114300" simplePos="0" relativeHeight="251665408" behindDoc="1" locked="0" layoutInCell="1" allowOverlap="1" wp14:anchorId="7AC5C9CB" wp14:editId="10DB5E4B">
            <wp:simplePos x="0" y="0"/>
            <wp:positionH relativeFrom="column">
              <wp:posOffset>4838700</wp:posOffset>
            </wp:positionH>
            <wp:positionV relativeFrom="paragraph">
              <wp:posOffset>121920</wp:posOffset>
            </wp:positionV>
            <wp:extent cx="1781175" cy="1381125"/>
            <wp:effectExtent l="0" t="0" r="9525" b="9525"/>
            <wp:wrapTight wrapText="bothSides">
              <wp:wrapPolygon edited="0">
                <wp:start x="0" y="0"/>
                <wp:lineTo x="0" y="21451"/>
                <wp:lineTo x="21484" y="21451"/>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withcounti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1381125"/>
                    </a:xfrm>
                    <a:prstGeom prst="rect">
                      <a:avLst/>
                    </a:prstGeom>
                  </pic:spPr>
                </pic:pic>
              </a:graphicData>
            </a:graphic>
            <wp14:sizeRelH relativeFrom="margin">
              <wp14:pctWidth>0</wp14:pctWidth>
            </wp14:sizeRelH>
            <wp14:sizeRelV relativeFrom="margin">
              <wp14:pctHeight>0</wp14:pctHeight>
            </wp14:sizeRelV>
          </wp:anchor>
        </w:drawing>
      </w:r>
    </w:p>
    <w:p w:rsidR="00302C51" w:rsidRDefault="009C60C1" w:rsidP="00302C51">
      <w:pPr>
        <w:rPr>
          <w:rFonts w:asciiTheme="minorHAnsi" w:hAnsiTheme="minorHAnsi"/>
        </w:rPr>
      </w:pPr>
      <w:r>
        <w:rPr>
          <w:rFonts w:asciiTheme="minorHAnsi" w:hAnsiTheme="minorHAnsi"/>
        </w:rPr>
        <w:t>Prior to today’s Summit, we conducted a survey of NY farmers, to understand their current and future possible market channels.  We asked each to tell us about their farm size, years of experience, income and primary enterprises as well as their levels of satisfaction with different channels.  Here is of summary for responses from across the state.</w:t>
      </w:r>
      <w:r w:rsidR="00AF0AA2">
        <w:rPr>
          <w:rFonts w:asciiTheme="minorHAnsi" w:hAnsiTheme="minorHAnsi"/>
        </w:rPr>
        <w:t xml:space="preserve"> </w:t>
      </w:r>
    </w:p>
    <w:p w:rsidR="00AF0AA2" w:rsidRDefault="00AF0AA2" w:rsidP="00302C51">
      <w:pPr>
        <w:rPr>
          <w:rFonts w:asciiTheme="minorHAnsi" w:hAnsiTheme="minorHAnsi"/>
        </w:rPr>
      </w:pPr>
    </w:p>
    <w:p w:rsidR="00807620" w:rsidRDefault="00807620" w:rsidP="00302C51">
      <w:pPr>
        <w:rPr>
          <w:rFonts w:asciiTheme="minorHAnsi" w:hAnsiTheme="minorHAnsi"/>
        </w:rPr>
      </w:pPr>
    </w:p>
    <w:p w:rsidR="006F7CD9" w:rsidRDefault="006F7CD9" w:rsidP="00302C51">
      <w:pPr>
        <w:rPr>
          <w:rFonts w:asciiTheme="minorHAnsi" w:hAnsiTheme="minorHAnsi"/>
        </w:rPr>
      </w:pPr>
    </w:p>
    <w:p w:rsidR="006F7CD9" w:rsidRDefault="006F7CD9" w:rsidP="00302C51">
      <w:pPr>
        <w:rPr>
          <w:rFonts w:asciiTheme="minorHAnsi" w:hAnsiTheme="minorHAnsi"/>
        </w:rPr>
      </w:pPr>
    </w:p>
    <w:p w:rsidR="00807620" w:rsidRDefault="00807620" w:rsidP="00302C51">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807620" w:rsidTr="004834DE">
        <w:trPr>
          <w:trHeight w:val="3455"/>
        </w:trPr>
        <w:tc>
          <w:tcPr>
            <w:tcW w:w="5148" w:type="dxa"/>
            <w:vAlign w:val="center"/>
          </w:tcPr>
          <w:p w:rsidR="00807620" w:rsidRDefault="00807620" w:rsidP="004834DE">
            <w:pPr>
              <w:jc w:val="center"/>
              <w:rPr>
                <w:rFonts w:asciiTheme="minorHAnsi" w:hAnsiTheme="minorHAnsi"/>
              </w:rPr>
            </w:pPr>
            <w:r>
              <w:rPr>
                <w:noProof/>
              </w:rPr>
              <w:drawing>
                <wp:inline distT="0" distB="0" distL="0" distR="0" wp14:anchorId="1A0DCE55" wp14:editId="1EB153D8">
                  <wp:extent cx="3028950" cy="17526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148" w:type="dxa"/>
            <w:vAlign w:val="center"/>
          </w:tcPr>
          <w:p w:rsidR="00807620" w:rsidRDefault="00807620" w:rsidP="004834DE">
            <w:pPr>
              <w:jc w:val="center"/>
              <w:rPr>
                <w:rFonts w:asciiTheme="minorHAnsi" w:hAnsiTheme="minorHAnsi"/>
              </w:rPr>
            </w:pPr>
            <w:r>
              <w:rPr>
                <w:noProof/>
              </w:rPr>
              <w:drawing>
                <wp:inline distT="0" distB="0" distL="0" distR="0" wp14:anchorId="13EA4B74" wp14:editId="1E5D6DA5">
                  <wp:extent cx="3000375" cy="17526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07620" w:rsidTr="004834DE">
        <w:trPr>
          <w:trHeight w:val="3500"/>
        </w:trPr>
        <w:tc>
          <w:tcPr>
            <w:tcW w:w="5148" w:type="dxa"/>
            <w:vAlign w:val="center"/>
          </w:tcPr>
          <w:p w:rsidR="00807620" w:rsidRDefault="00AF0AA2" w:rsidP="004834DE">
            <w:pPr>
              <w:jc w:val="center"/>
              <w:rPr>
                <w:rFonts w:asciiTheme="minorHAnsi" w:hAnsiTheme="minorHAnsi"/>
              </w:rPr>
            </w:pPr>
            <w:r>
              <w:rPr>
                <w:noProof/>
              </w:rPr>
              <w:drawing>
                <wp:inline distT="0" distB="0" distL="0" distR="0" wp14:anchorId="390F4544" wp14:editId="19E113E7">
                  <wp:extent cx="3086100" cy="18669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148" w:type="dxa"/>
            <w:vAlign w:val="center"/>
          </w:tcPr>
          <w:tbl>
            <w:tblPr>
              <w:tblW w:w="4500" w:type="dxa"/>
              <w:jc w:val="center"/>
              <w:tblLook w:val="04A0" w:firstRow="1" w:lastRow="0" w:firstColumn="1" w:lastColumn="0" w:noHBand="0" w:noVBand="1"/>
            </w:tblPr>
            <w:tblGrid>
              <w:gridCol w:w="2840"/>
              <w:gridCol w:w="1660"/>
            </w:tblGrid>
            <w:tr w:rsidR="006F7CD9" w:rsidRPr="006F7CD9" w:rsidTr="006F7CD9">
              <w:trPr>
                <w:trHeight w:val="315"/>
                <w:jc w:val="center"/>
              </w:trPr>
              <w:tc>
                <w:tcPr>
                  <w:tcW w:w="2840" w:type="dxa"/>
                  <w:tcBorders>
                    <w:top w:val="nil"/>
                    <w:left w:val="nil"/>
                    <w:bottom w:val="single" w:sz="8" w:space="0" w:color="auto"/>
                    <w:right w:val="nil"/>
                  </w:tcBorders>
                  <w:shd w:val="clear" w:color="auto" w:fill="auto"/>
                  <w:noWrap/>
                  <w:vAlign w:val="bottom"/>
                  <w:hideMark/>
                </w:tcPr>
                <w:p w:rsidR="006F7CD9" w:rsidRPr="006F7CD9" w:rsidRDefault="00FE49D5" w:rsidP="004834DE">
                  <w:pPr>
                    <w:jc w:val="center"/>
                    <w:rPr>
                      <w:rFonts w:ascii="Calibri" w:hAnsi="Calibri"/>
                      <w:b/>
                      <w:bCs/>
                      <w:color w:val="000000"/>
                      <w:sz w:val="22"/>
                      <w:szCs w:val="22"/>
                    </w:rPr>
                  </w:pPr>
                  <w:r>
                    <w:rPr>
                      <w:rFonts w:ascii="Calibri" w:hAnsi="Calibri"/>
                      <w:b/>
                      <w:bCs/>
                      <w:color w:val="000000"/>
                      <w:sz w:val="22"/>
                      <w:szCs w:val="22"/>
                    </w:rPr>
                    <w:t>Enterprises L</w:t>
                  </w:r>
                  <w:r w:rsidR="006F7CD9" w:rsidRPr="006F7CD9">
                    <w:rPr>
                      <w:rFonts w:ascii="Calibri" w:hAnsi="Calibri"/>
                      <w:b/>
                      <w:bCs/>
                      <w:color w:val="000000"/>
                      <w:sz w:val="22"/>
                      <w:szCs w:val="22"/>
                    </w:rPr>
                    <w:t xml:space="preserve">isted </w:t>
                  </w:r>
                  <w:r>
                    <w:rPr>
                      <w:rFonts w:ascii="Calibri" w:hAnsi="Calibri"/>
                      <w:b/>
                      <w:bCs/>
                      <w:color w:val="000000"/>
                      <w:sz w:val="22"/>
                      <w:szCs w:val="22"/>
                    </w:rPr>
                    <w:t>in</w:t>
                  </w:r>
                  <w:r w:rsidR="006F7CD9" w:rsidRPr="006F7CD9">
                    <w:rPr>
                      <w:rFonts w:ascii="Calibri" w:hAnsi="Calibri"/>
                      <w:b/>
                      <w:bCs/>
                      <w:color w:val="000000"/>
                      <w:sz w:val="22"/>
                      <w:szCs w:val="22"/>
                    </w:rPr>
                    <w:t xml:space="preserve"> Top 3</w:t>
                  </w:r>
                </w:p>
              </w:tc>
              <w:tc>
                <w:tcPr>
                  <w:tcW w:w="1660" w:type="dxa"/>
                  <w:tcBorders>
                    <w:top w:val="nil"/>
                    <w:left w:val="nil"/>
                    <w:bottom w:val="single" w:sz="8" w:space="0" w:color="auto"/>
                    <w:right w:val="nil"/>
                  </w:tcBorders>
                  <w:shd w:val="clear" w:color="auto" w:fill="auto"/>
                  <w:noWrap/>
                  <w:vAlign w:val="bottom"/>
                  <w:hideMark/>
                </w:tcPr>
                <w:p w:rsidR="006F7CD9" w:rsidRPr="006F7CD9" w:rsidRDefault="006F7CD9" w:rsidP="004834DE">
                  <w:pPr>
                    <w:jc w:val="center"/>
                    <w:rPr>
                      <w:rFonts w:ascii="Calibri" w:hAnsi="Calibri"/>
                      <w:b/>
                      <w:bCs/>
                      <w:color w:val="000000"/>
                      <w:sz w:val="22"/>
                      <w:szCs w:val="22"/>
                    </w:rPr>
                  </w:pPr>
                  <w:r w:rsidRPr="006F7CD9">
                    <w:rPr>
                      <w:rFonts w:ascii="Calibri" w:hAnsi="Calibri"/>
                      <w:b/>
                      <w:bCs/>
                      <w:color w:val="000000"/>
                      <w:sz w:val="22"/>
                      <w:szCs w:val="22"/>
                    </w:rPr>
                    <w:t>% of Responses</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Vegetables</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19</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Poultry</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13</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Field Crops/Hay</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10</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Beef</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9</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Fruit- Trees/Berries</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8</w:t>
                  </w:r>
                </w:p>
              </w:tc>
            </w:tr>
            <w:tr w:rsidR="006F7CD9" w:rsidRPr="006F7CD9" w:rsidTr="006F7CD9">
              <w:trPr>
                <w:trHeight w:val="300"/>
                <w:jc w:val="center"/>
              </w:trPr>
              <w:tc>
                <w:tcPr>
                  <w:tcW w:w="2840" w:type="dxa"/>
                  <w:tcBorders>
                    <w:top w:val="nil"/>
                    <w:left w:val="nil"/>
                    <w:bottom w:val="nil"/>
                    <w:right w:val="single" w:sz="4" w:space="0" w:color="auto"/>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Sheep &amp; Goats</w:t>
                  </w:r>
                </w:p>
              </w:tc>
              <w:tc>
                <w:tcPr>
                  <w:tcW w:w="1660" w:type="dxa"/>
                  <w:tcBorders>
                    <w:top w:val="nil"/>
                    <w:left w:val="nil"/>
                    <w:bottom w:val="nil"/>
                    <w:right w:val="nil"/>
                  </w:tcBorders>
                  <w:shd w:val="clear" w:color="auto" w:fill="auto"/>
                  <w:noWrap/>
                  <w:vAlign w:val="bottom"/>
                  <w:hideMark/>
                </w:tcPr>
                <w:p w:rsidR="006F7CD9" w:rsidRPr="006F7CD9" w:rsidRDefault="006F7CD9" w:rsidP="004834DE">
                  <w:pPr>
                    <w:jc w:val="center"/>
                    <w:rPr>
                      <w:rFonts w:ascii="Calibri" w:hAnsi="Calibri"/>
                      <w:color w:val="000000"/>
                      <w:sz w:val="22"/>
                      <w:szCs w:val="22"/>
                    </w:rPr>
                  </w:pPr>
                  <w:r w:rsidRPr="006F7CD9">
                    <w:rPr>
                      <w:rFonts w:ascii="Calibri" w:hAnsi="Calibri"/>
                      <w:color w:val="000000"/>
                      <w:sz w:val="22"/>
                      <w:szCs w:val="22"/>
                    </w:rPr>
                    <w:t>7</w:t>
                  </w:r>
                </w:p>
              </w:tc>
            </w:tr>
          </w:tbl>
          <w:p w:rsidR="006F7CD9" w:rsidRDefault="006F7CD9" w:rsidP="004834DE">
            <w:pPr>
              <w:jc w:val="center"/>
              <w:rPr>
                <w:rFonts w:asciiTheme="minorHAnsi" w:hAnsiTheme="minorHAnsi"/>
              </w:rPr>
            </w:pPr>
          </w:p>
        </w:tc>
      </w:tr>
    </w:tbl>
    <w:p w:rsidR="00807620" w:rsidRDefault="00807620" w:rsidP="00302C51">
      <w:pPr>
        <w:rPr>
          <w:rFonts w:asciiTheme="minorHAnsi" w:hAnsiTheme="minorHAnsi"/>
        </w:rPr>
      </w:pPr>
    </w:p>
    <w:p w:rsidR="00807620" w:rsidRDefault="00807620" w:rsidP="00302C51">
      <w:pPr>
        <w:rPr>
          <w:rFonts w:asciiTheme="minorHAnsi" w:hAnsiTheme="minorHAnsi"/>
        </w:rPr>
      </w:pPr>
    </w:p>
    <w:p w:rsidR="006E17CB" w:rsidRDefault="006E17CB">
      <w:pPr>
        <w:spacing w:after="200" w:line="276" w:lineRule="auto"/>
        <w:rPr>
          <w:rFonts w:asciiTheme="minorHAnsi" w:hAnsiTheme="minorHAnsi"/>
          <w:b/>
        </w:rPr>
      </w:pPr>
      <w:r>
        <w:rPr>
          <w:rFonts w:asciiTheme="minorHAnsi" w:hAnsiTheme="minorHAnsi"/>
          <w:b/>
        </w:rPr>
        <w:br w:type="page"/>
      </w:r>
    </w:p>
    <w:p w:rsidR="00620C50" w:rsidRPr="004834DE" w:rsidRDefault="00620C50" w:rsidP="00302C51">
      <w:pPr>
        <w:rPr>
          <w:rFonts w:asciiTheme="minorHAnsi" w:hAnsiTheme="minorHAnsi"/>
          <w:b/>
        </w:rPr>
      </w:pPr>
      <w:r w:rsidRPr="004834DE">
        <w:rPr>
          <w:rFonts w:asciiTheme="minorHAnsi" w:hAnsiTheme="minorHAnsi"/>
          <w:b/>
        </w:rPr>
        <w:t>Market Channels</w:t>
      </w:r>
    </w:p>
    <w:p w:rsidR="00620C50" w:rsidRDefault="00620C50" w:rsidP="00302C51">
      <w:pPr>
        <w:rPr>
          <w:rFonts w:asciiTheme="minorHAnsi" w:hAnsiTheme="minorHAnsi"/>
        </w:rPr>
      </w:pPr>
    </w:p>
    <w:p w:rsidR="00620C50" w:rsidRDefault="00620C50" w:rsidP="00302C51">
      <w:pPr>
        <w:rPr>
          <w:rFonts w:asciiTheme="minorHAnsi" w:hAnsiTheme="minorHAnsi"/>
        </w:rPr>
      </w:pPr>
      <w:r>
        <w:rPr>
          <w:rFonts w:asciiTheme="minorHAnsi" w:hAnsiTheme="minorHAnsi"/>
        </w:rPr>
        <w:t xml:space="preserve">Currently, direct marketing channels represented 80% of the strategy used to sell products. </w:t>
      </w:r>
      <w:r w:rsidR="006B2E40">
        <w:rPr>
          <w:rFonts w:asciiTheme="minorHAnsi" w:hAnsiTheme="minorHAnsi"/>
        </w:rPr>
        <w:t xml:space="preserve">Farmer’s Markets and Farm Stands were most commonly used for direct marketing.  Most important wholesale channels were restaurants and grocery stores. </w:t>
      </w:r>
    </w:p>
    <w:p w:rsidR="00EB2B65" w:rsidRDefault="00EB2B65" w:rsidP="00302C51">
      <w:pPr>
        <w:rPr>
          <w:rFonts w:asciiTheme="minorHAnsi" w:hAnsiTheme="minorHAnsi"/>
        </w:rPr>
      </w:pPr>
    </w:p>
    <w:p w:rsidR="00EB2B65" w:rsidRDefault="00EB2B65" w:rsidP="00302C51">
      <w:pPr>
        <w:rPr>
          <w:rFonts w:asciiTheme="minorHAnsi" w:hAnsiTheme="minorHAnsi"/>
        </w:rPr>
      </w:pPr>
      <w:r>
        <w:rPr>
          <w:noProof/>
        </w:rPr>
        <w:drawing>
          <wp:inline distT="0" distB="0" distL="0" distR="0" wp14:anchorId="27C01D99" wp14:editId="103C3813">
            <wp:extent cx="6076950" cy="35147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2B65" w:rsidRDefault="00EB2B65" w:rsidP="00302C51">
      <w:pPr>
        <w:rPr>
          <w:rFonts w:asciiTheme="minorHAnsi" w:hAnsiTheme="minorHAnsi"/>
        </w:rPr>
      </w:pPr>
    </w:p>
    <w:p w:rsidR="00EB2B65" w:rsidRDefault="00EB2B65" w:rsidP="00302C51">
      <w:pPr>
        <w:rPr>
          <w:rFonts w:asciiTheme="minorHAnsi" w:hAnsiTheme="minorHAnsi"/>
        </w:rPr>
      </w:pPr>
    </w:p>
    <w:p w:rsidR="00EB2B65" w:rsidRDefault="00EB2B65" w:rsidP="00302C51">
      <w:pPr>
        <w:rPr>
          <w:rFonts w:asciiTheme="minorHAnsi" w:hAnsiTheme="minorHAnsi"/>
        </w:rPr>
      </w:pPr>
      <w:r>
        <w:rPr>
          <w:rFonts w:asciiTheme="minorHAnsi" w:hAnsiTheme="minorHAnsi"/>
        </w:rPr>
        <w:t xml:space="preserve">82% of farmers expressed interest in new markets, over the next two years.  </w:t>
      </w:r>
    </w:p>
    <w:p w:rsidR="003701CB" w:rsidRDefault="003701CB" w:rsidP="00302C51">
      <w:pPr>
        <w:rPr>
          <w:rFonts w:asciiTheme="minorHAnsi" w:hAnsiTheme="minorHAnsi"/>
        </w:rPr>
      </w:pPr>
    </w:p>
    <w:p w:rsidR="009C60C1" w:rsidRPr="009C60C1" w:rsidRDefault="008E63F3" w:rsidP="00302C51">
      <w:pPr>
        <w:rPr>
          <w:rFonts w:asciiTheme="minorHAnsi" w:hAnsiTheme="minorHAnsi"/>
        </w:rPr>
      </w:pPr>
      <w:r>
        <w:rPr>
          <w:noProof/>
        </w:rPr>
        <w:drawing>
          <wp:inline distT="0" distB="0" distL="0" distR="0" wp14:anchorId="102235FC" wp14:editId="73E3C601">
            <wp:extent cx="6076950" cy="31146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sectPr w:rsidR="009C60C1" w:rsidRPr="009C60C1" w:rsidSect="00302C5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876"/>
    <w:rsid w:val="00094FC2"/>
    <w:rsid w:val="001960C1"/>
    <w:rsid w:val="00302C51"/>
    <w:rsid w:val="003701CB"/>
    <w:rsid w:val="00437623"/>
    <w:rsid w:val="004834DE"/>
    <w:rsid w:val="004A142E"/>
    <w:rsid w:val="0051251A"/>
    <w:rsid w:val="005E2F6B"/>
    <w:rsid w:val="00620C50"/>
    <w:rsid w:val="006B2E40"/>
    <w:rsid w:val="006E17CB"/>
    <w:rsid w:val="006F7CD9"/>
    <w:rsid w:val="00710634"/>
    <w:rsid w:val="00807620"/>
    <w:rsid w:val="008E63F3"/>
    <w:rsid w:val="00902D6D"/>
    <w:rsid w:val="009C60C1"/>
    <w:rsid w:val="00A55E76"/>
    <w:rsid w:val="00AC55D3"/>
    <w:rsid w:val="00AF0AA2"/>
    <w:rsid w:val="00B23B89"/>
    <w:rsid w:val="00DB05C5"/>
    <w:rsid w:val="00EB2B65"/>
    <w:rsid w:val="00F57876"/>
    <w:rsid w:val="00FE4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578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57876"/>
    <w:rPr>
      <w:color w:val="0000FF"/>
      <w:u w:val="single"/>
    </w:rPr>
  </w:style>
  <w:style w:type="paragraph" w:styleId="BalloonText">
    <w:name w:val="Balloon Text"/>
    <w:basedOn w:val="Normal"/>
    <w:link w:val="BalloonTextChar"/>
    <w:uiPriority w:val="99"/>
    <w:semiHidden/>
    <w:unhideWhenUsed/>
    <w:rsid w:val="00F57876"/>
    <w:rPr>
      <w:rFonts w:ascii="Tahoma" w:hAnsi="Tahoma" w:cs="Tahoma"/>
      <w:sz w:val="16"/>
      <w:szCs w:val="16"/>
    </w:rPr>
  </w:style>
  <w:style w:type="character" w:customStyle="1" w:styleId="BalloonTextChar">
    <w:name w:val="Balloon Text Char"/>
    <w:basedOn w:val="DefaultParagraphFont"/>
    <w:link w:val="BalloonText"/>
    <w:uiPriority w:val="99"/>
    <w:semiHidden/>
    <w:rsid w:val="00F5787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578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57876"/>
    <w:rPr>
      <w:color w:val="0000FF"/>
      <w:u w:val="single"/>
    </w:rPr>
  </w:style>
  <w:style w:type="paragraph" w:styleId="BalloonText">
    <w:name w:val="Balloon Text"/>
    <w:basedOn w:val="Normal"/>
    <w:link w:val="BalloonTextChar"/>
    <w:uiPriority w:val="99"/>
    <w:semiHidden/>
    <w:unhideWhenUsed/>
    <w:rsid w:val="00F57876"/>
    <w:rPr>
      <w:rFonts w:ascii="Tahoma" w:hAnsi="Tahoma" w:cs="Tahoma"/>
      <w:sz w:val="16"/>
      <w:szCs w:val="16"/>
    </w:rPr>
  </w:style>
  <w:style w:type="character" w:customStyle="1" w:styleId="BalloonTextChar">
    <w:name w:val="Balloon Text Char"/>
    <w:basedOn w:val="DefaultParagraphFont"/>
    <w:link w:val="BalloonText"/>
    <w:uiPriority w:val="99"/>
    <w:semiHidden/>
    <w:rsid w:val="00F5787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739065">
      <w:bodyDiv w:val="1"/>
      <w:marLeft w:val="0"/>
      <w:marRight w:val="0"/>
      <w:marTop w:val="0"/>
      <w:marBottom w:val="0"/>
      <w:divBdr>
        <w:top w:val="none" w:sz="0" w:space="0" w:color="auto"/>
        <w:left w:val="none" w:sz="0" w:space="0" w:color="auto"/>
        <w:bottom w:val="none" w:sz="0" w:space="0" w:color="auto"/>
        <w:right w:val="none" w:sz="0" w:space="0" w:color="auto"/>
      </w:divBdr>
    </w:div>
    <w:div w:id="206983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hyperlink" Target="http://www.smallfarms.cornell.edu" TargetMode="External"/><Relationship Id="rId12" Type="http://schemas.openxmlformats.org/officeDocument/2006/relationships/chart" Target="charts/chart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b262@cornell.edu" TargetMode="External"/><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r47\Documents\2014\Small%20Farm%20Program\PreSummit%20Survey\Summary%20of%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47\Documents\2014\Small%20Farm%20Program\PreSummit%20Survey\Summary%20of%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47\Documents\2014\Small%20Farm%20Program\PreSummit%20Survey\Summary%20of%20resul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r47\Documents\2014\Small%20Farm%20Program\PreSummit%20Survey\Current%20Market%20Channel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r47\Documents\2014\Small%20Farm%20Program\PreSummit%20Survey\Current%20Market%20Channe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Years Farming</a:t>
            </a:r>
          </a:p>
        </c:rich>
      </c:tx>
      <c:overlay val="0"/>
    </c:title>
    <c:autoTitleDeleted val="0"/>
    <c:plotArea>
      <c:layout>
        <c:manualLayout>
          <c:layoutTarget val="inner"/>
          <c:xMode val="edge"/>
          <c:yMode val="edge"/>
          <c:x val="0.14232452450293029"/>
          <c:y val="0.21476618854840343"/>
          <c:w val="0.38369913349872364"/>
          <c:h val="0.66532137198112928"/>
        </c:manualLayout>
      </c:layout>
      <c:pieChart>
        <c:varyColors val="1"/>
        <c:ser>
          <c:idx val="0"/>
          <c:order val="0"/>
          <c:dPt>
            <c:idx val="0"/>
            <c:bubble3D val="0"/>
            <c:spPr>
              <a:solidFill>
                <a:schemeClr val="bg2"/>
              </a:solidFill>
              <a:ln>
                <a:solidFill>
                  <a:schemeClr val="tx1"/>
                </a:solidFill>
              </a:ln>
            </c:spPr>
          </c:dPt>
          <c:dPt>
            <c:idx val="1"/>
            <c:bubble3D val="0"/>
            <c:spPr>
              <a:pattFill prst="ltUpDiag">
                <a:fgClr>
                  <a:schemeClr val="tx1"/>
                </a:fgClr>
                <a:bgClr>
                  <a:schemeClr val="bg1"/>
                </a:bgClr>
              </a:pattFill>
            </c:spPr>
          </c:dPt>
          <c:dPt>
            <c:idx val="2"/>
            <c:bubble3D val="0"/>
            <c:spPr>
              <a:pattFill prst="wdUpDiag">
                <a:fgClr>
                  <a:schemeClr val="tx1"/>
                </a:fgClr>
                <a:bgClr>
                  <a:schemeClr val="bg1"/>
                </a:bgClr>
              </a:pattFill>
            </c:spPr>
          </c:dPt>
          <c:dPt>
            <c:idx val="3"/>
            <c:bubble3D val="0"/>
            <c:spPr>
              <a:pattFill prst="pct30">
                <a:fgClr>
                  <a:schemeClr val="tx1"/>
                </a:fgClr>
                <a:bgClr>
                  <a:schemeClr val="bg1"/>
                </a:bgClr>
              </a:pattFill>
              <a:ln>
                <a:solidFill>
                  <a:schemeClr val="tx1"/>
                </a:solidFill>
              </a:ln>
            </c:spPr>
          </c:dPt>
          <c:dLbls>
            <c:dLbl>
              <c:idx val="1"/>
              <c:layout>
                <c:manualLayout>
                  <c:x val="-2.6508754898788338E-2"/>
                  <c:y val="-0.19103616784529576"/>
                </c:manualLayout>
              </c:layout>
              <c:showLegendKey val="0"/>
              <c:showVal val="0"/>
              <c:showCatName val="0"/>
              <c:showSerName val="0"/>
              <c:showPercent val="1"/>
              <c:showBubbleSize val="0"/>
            </c:dLbl>
            <c:dLbl>
              <c:idx val="2"/>
              <c:layout>
                <c:manualLayout>
                  <c:x val="8.4652212993923698E-2"/>
                  <c:y val="-0.11350599721797315"/>
                </c:manualLayout>
              </c:layout>
              <c:showLegendKey val="0"/>
              <c:showVal val="0"/>
              <c:showCatName val="0"/>
              <c:showSerName val="0"/>
              <c:showPercent val="1"/>
              <c:showBubbleSize val="0"/>
            </c:dLbl>
            <c:dLbl>
              <c:idx val="3"/>
              <c:layout>
                <c:manualLayout>
                  <c:x val="0.11048243627080861"/>
                  <c:y val="9.3753506835117781E-2"/>
                </c:manualLayout>
              </c:layout>
              <c:showLegendKey val="0"/>
              <c:showVal val="0"/>
              <c:showCatName val="0"/>
              <c:showSerName val="0"/>
              <c:showPercent val="1"/>
              <c:showBubbleSize val="0"/>
            </c:dLbl>
            <c:spPr>
              <a:noFill/>
            </c:spPr>
            <c:txPr>
              <a:bodyPr/>
              <a:lstStyle/>
              <a:p>
                <a:pPr>
                  <a:defRPr b="1"/>
                </a:pPr>
                <a:endParaRPr lang="en-US"/>
              </a:p>
            </c:txPr>
            <c:showLegendKey val="0"/>
            <c:showVal val="0"/>
            <c:showCatName val="0"/>
            <c:showSerName val="0"/>
            <c:showPercent val="1"/>
            <c:showBubbleSize val="0"/>
            <c:showLeaderLines val="1"/>
          </c:dLbls>
          <c:cat>
            <c:strRef>
              <c:f>Statewide!$B$17:$B$20</c:f>
              <c:strCache>
                <c:ptCount val="4"/>
                <c:pt idx="0">
                  <c:v>1-5 years</c:v>
                </c:pt>
                <c:pt idx="1">
                  <c:v>6 - 10 years</c:v>
                </c:pt>
                <c:pt idx="2">
                  <c:v>11 - 15 years</c:v>
                </c:pt>
                <c:pt idx="3">
                  <c:v>15+ years</c:v>
                </c:pt>
              </c:strCache>
            </c:strRef>
          </c:cat>
          <c:val>
            <c:numRef>
              <c:f>Statewide!$D$17:$D$20</c:f>
              <c:numCache>
                <c:formatCode>0</c:formatCode>
                <c:ptCount val="4"/>
                <c:pt idx="0">
                  <c:v>36.857142857142854</c:v>
                </c:pt>
                <c:pt idx="1">
                  <c:v>21.428571428571427</c:v>
                </c:pt>
                <c:pt idx="2">
                  <c:v>11.142857142857142</c:v>
                </c:pt>
                <c:pt idx="3">
                  <c:v>30.571428571428573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792539905321508"/>
          <c:y val="0.24867270187275592"/>
          <c:w val="0.34393478760774238"/>
          <c:h val="0.55950360421603251"/>
        </c:manualLayout>
      </c:layout>
      <c:overlay val="0"/>
      <c:spPr>
        <a:ln>
          <a:noFill/>
        </a:ln>
      </c:sp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Acres Farmed</a:t>
            </a:r>
          </a:p>
        </c:rich>
      </c:tx>
      <c:overlay val="0"/>
    </c:title>
    <c:autoTitleDeleted val="0"/>
    <c:plotArea>
      <c:layout>
        <c:manualLayout>
          <c:layoutTarget val="inner"/>
          <c:xMode val="edge"/>
          <c:yMode val="edge"/>
          <c:x val="0.17273737731498343"/>
          <c:y val="0.22396566992719655"/>
          <c:w val="0.78606410866262899"/>
          <c:h val="0.5340557658319548"/>
        </c:manualLayout>
      </c:layout>
      <c:barChart>
        <c:barDir val="col"/>
        <c:grouping val="clustered"/>
        <c:varyColors val="0"/>
        <c:ser>
          <c:idx val="0"/>
          <c:order val="0"/>
          <c:spPr>
            <a:solidFill>
              <a:schemeClr val="tx1">
                <a:lumMod val="50000"/>
                <a:lumOff val="50000"/>
              </a:schemeClr>
            </a:solidFill>
          </c:spPr>
          <c:invertIfNegative val="0"/>
          <c:cat>
            <c:strRef>
              <c:f>Statewide!$M$3:$M$8</c:f>
              <c:strCache>
                <c:ptCount val="6"/>
                <c:pt idx="0">
                  <c:v>0 - 5</c:v>
                </c:pt>
                <c:pt idx="1">
                  <c:v>6-10</c:v>
                </c:pt>
                <c:pt idx="2">
                  <c:v>11-49</c:v>
                </c:pt>
                <c:pt idx="3">
                  <c:v>50 - 99</c:v>
                </c:pt>
                <c:pt idx="4">
                  <c:v>100 - 149</c:v>
                </c:pt>
                <c:pt idx="5">
                  <c:v>150+</c:v>
                </c:pt>
              </c:strCache>
            </c:strRef>
          </c:cat>
          <c:val>
            <c:numRef>
              <c:f>Statewide!$O$3:$O$8</c:f>
              <c:numCache>
                <c:formatCode>0</c:formatCode>
                <c:ptCount val="6"/>
                <c:pt idx="0">
                  <c:v>36.571428571428569</c:v>
                </c:pt>
                <c:pt idx="1">
                  <c:v>12.285714285714286</c:v>
                </c:pt>
                <c:pt idx="2">
                  <c:v>24.857142857142858</c:v>
                </c:pt>
                <c:pt idx="3">
                  <c:v>7.7142857142857135</c:v>
                </c:pt>
                <c:pt idx="4">
                  <c:v>6.5714285714285712</c:v>
                </c:pt>
                <c:pt idx="5">
                  <c:v>12</c:v>
                </c:pt>
              </c:numCache>
            </c:numRef>
          </c:val>
        </c:ser>
        <c:dLbls>
          <c:showLegendKey val="0"/>
          <c:showVal val="0"/>
          <c:showCatName val="0"/>
          <c:showSerName val="0"/>
          <c:showPercent val="0"/>
          <c:showBubbleSize val="0"/>
        </c:dLbls>
        <c:gapWidth val="150"/>
        <c:axId val="190367616"/>
        <c:axId val="197488640"/>
      </c:barChart>
      <c:catAx>
        <c:axId val="190367616"/>
        <c:scaling>
          <c:orientation val="minMax"/>
        </c:scaling>
        <c:delete val="0"/>
        <c:axPos val="b"/>
        <c:title>
          <c:tx>
            <c:rich>
              <a:bodyPr/>
              <a:lstStyle/>
              <a:p>
                <a:pPr>
                  <a:defRPr/>
                </a:pPr>
                <a:r>
                  <a:rPr lang="en-US"/>
                  <a:t>Acres</a:t>
                </a:r>
              </a:p>
            </c:rich>
          </c:tx>
          <c:layout>
            <c:manualLayout>
              <c:xMode val="edge"/>
              <c:yMode val="edge"/>
              <c:x val="0.45373748967456717"/>
              <c:y val="0.86051878175014129"/>
            </c:manualLayout>
          </c:layout>
          <c:overlay val="0"/>
        </c:title>
        <c:majorTickMark val="none"/>
        <c:minorTickMark val="none"/>
        <c:tickLblPos val="nextTo"/>
        <c:crossAx val="197488640"/>
        <c:crosses val="autoZero"/>
        <c:auto val="1"/>
        <c:lblAlgn val="ctr"/>
        <c:lblOffset val="100"/>
        <c:noMultiLvlLbl val="0"/>
      </c:catAx>
      <c:valAx>
        <c:axId val="197488640"/>
        <c:scaling>
          <c:orientation val="minMax"/>
        </c:scaling>
        <c:delete val="0"/>
        <c:axPos val="l"/>
        <c:majorGridlines/>
        <c:title>
          <c:tx>
            <c:rich>
              <a:bodyPr rot="-5400000" vert="horz"/>
              <a:lstStyle/>
              <a:p>
                <a:pPr>
                  <a:defRPr/>
                </a:pPr>
                <a:r>
                  <a:rPr lang="en-US"/>
                  <a:t>% of</a:t>
                </a:r>
                <a:r>
                  <a:rPr lang="en-US" baseline="0"/>
                  <a:t> Reponses</a:t>
                </a:r>
                <a:endParaRPr lang="en-US"/>
              </a:p>
            </c:rich>
          </c:tx>
          <c:overlay val="0"/>
        </c:title>
        <c:numFmt formatCode="0" sourceLinked="1"/>
        <c:majorTickMark val="none"/>
        <c:minorTickMark val="none"/>
        <c:tickLblPos val="nextTo"/>
        <c:crossAx val="1903676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Gross Revenue in 2013</a:t>
            </a:r>
          </a:p>
        </c:rich>
      </c:tx>
      <c:overlay val="0"/>
    </c:title>
    <c:autoTitleDeleted val="0"/>
    <c:plotArea>
      <c:layout/>
      <c:pieChart>
        <c:varyColors val="1"/>
        <c:ser>
          <c:idx val="0"/>
          <c:order val="0"/>
          <c:spPr>
            <a:ln>
              <a:solidFill>
                <a:schemeClr val="tx1"/>
              </a:solidFill>
            </a:ln>
          </c:spPr>
          <c:dPt>
            <c:idx val="0"/>
            <c:bubble3D val="0"/>
            <c:spPr>
              <a:solidFill>
                <a:schemeClr val="bg1">
                  <a:lumMod val="85000"/>
                </a:schemeClr>
              </a:solidFill>
              <a:ln>
                <a:solidFill>
                  <a:schemeClr val="tx1"/>
                </a:solidFill>
              </a:ln>
            </c:spPr>
          </c:dPt>
          <c:dPt>
            <c:idx val="1"/>
            <c:bubble3D val="0"/>
            <c:spPr>
              <a:solidFill>
                <a:schemeClr val="tx1">
                  <a:lumMod val="50000"/>
                  <a:lumOff val="50000"/>
                </a:schemeClr>
              </a:solidFill>
              <a:ln>
                <a:solidFill>
                  <a:schemeClr val="tx1"/>
                </a:solidFill>
              </a:ln>
            </c:spPr>
          </c:dPt>
          <c:dPt>
            <c:idx val="2"/>
            <c:bubble3D val="0"/>
            <c:spPr>
              <a:pattFill prst="pct10">
                <a:fgClr>
                  <a:schemeClr val="tx1">
                    <a:lumMod val="50000"/>
                    <a:lumOff val="50000"/>
                  </a:schemeClr>
                </a:fgClr>
                <a:bgClr>
                  <a:schemeClr val="bg1"/>
                </a:bgClr>
              </a:pattFill>
              <a:ln>
                <a:solidFill>
                  <a:schemeClr val="tx1"/>
                </a:solidFill>
              </a:ln>
            </c:spPr>
          </c:dPt>
          <c:dPt>
            <c:idx val="3"/>
            <c:bubble3D val="0"/>
            <c:spPr>
              <a:pattFill prst="narVert">
                <a:fgClr>
                  <a:schemeClr val="tx1">
                    <a:lumMod val="50000"/>
                    <a:lumOff val="50000"/>
                  </a:schemeClr>
                </a:fgClr>
                <a:bgClr>
                  <a:schemeClr val="bg1"/>
                </a:bgClr>
              </a:pattFill>
              <a:ln>
                <a:solidFill>
                  <a:schemeClr val="tx1"/>
                </a:solidFill>
              </a:ln>
            </c:spPr>
          </c:dPt>
          <c:dPt>
            <c:idx val="4"/>
            <c:bubble3D val="0"/>
            <c:spPr>
              <a:pattFill prst="ltVert">
                <a:fgClr>
                  <a:schemeClr val="tx1"/>
                </a:fgClr>
                <a:bgClr>
                  <a:schemeClr val="bg1"/>
                </a:bgClr>
              </a:pattFill>
              <a:ln>
                <a:solidFill>
                  <a:schemeClr val="tx1"/>
                </a:solidFill>
              </a:ln>
            </c:spPr>
          </c:dPt>
          <c:dPt>
            <c:idx val="5"/>
            <c:bubble3D val="0"/>
            <c:spPr>
              <a:solidFill>
                <a:schemeClr val="tx1"/>
              </a:solidFill>
              <a:ln>
                <a:solidFill>
                  <a:schemeClr val="tx1"/>
                </a:solidFill>
              </a:ln>
            </c:spPr>
          </c:dPt>
          <c:dLbls>
            <c:txPr>
              <a:bodyPr/>
              <a:lstStyle/>
              <a:p>
                <a:pPr>
                  <a:defRPr b="1"/>
                </a:pPr>
                <a:endParaRPr lang="en-US"/>
              </a:p>
            </c:txPr>
            <c:showLegendKey val="0"/>
            <c:showVal val="0"/>
            <c:showCatName val="0"/>
            <c:showSerName val="0"/>
            <c:showPercent val="1"/>
            <c:showBubbleSize val="0"/>
            <c:showLeaderLines val="1"/>
          </c:dLbls>
          <c:cat>
            <c:strRef>
              <c:f>Statewide!$M$17:$M$22</c:f>
              <c:strCache>
                <c:ptCount val="6"/>
                <c:pt idx="0">
                  <c:v> Less than $10,000</c:v>
                </c:pt>
                <c:pt idx="1">
                  <c:v> $10,000 to $24,999</c:v>
                </c:pt>
                <c:pt idx="2">
                  <c:v> $25,000 to $49,999</c:v>
                </c:pt>
                <c:pt idx="3">
                  <c:v> $50,000 to $99,999</c:v>
                </c:pt>
                <c:pt idx="4">
                  <c:v> $100,000 to $249,999</c:v>
                </c:pt>
                <c:pt idx="5">
                  <c:v> $250,000 or more</c:v>
                </c:pt>
              </c:strCache>
            </c:strRef>
          </c:cat>
          <c:val>
            <c:numRef>
              <c:f>Statewide!$O$17:$O$22</c:f>
              <c:numCache>
                <c:formatCode>0</c:formatCode>
                <c:ptCount val="6"/>
                <c:pt idx="0">
                  <c:v>42.857142857142854</c:v>
                </c:pt>
                <c:pt idx="1">
                  <c:v>23.428571428571431</c:v>
                </c:pt>
                <c:pt idx="2">
                  <c:v>10.857142857142858</c:v>
                </c:pt>
                <c:pt idx="3">
                  <c:v>11.428571428571429</c:v>
                </c:pt>
                <c:pt idx="4">
                  <c:v>6.2857142857142865</c:v>
                </c:pt>
                <c:pt idx="5">
                  <c:v>5.1428571428571423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56580591126283"/>
          <c:y val="0.19802393603316429"/>
          <c:w val="0.42356835500514056"/>
          <c:h val="0.726276228044870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Market Channel</a:t>
            </a:r>
            <a:r>
              <a:rPr lang="en-US" baseline="0"/>
              <a:t> Use</a:t>
            </a:r>
            <a:endParaRPr lang="en-US"/>
          </a:p>
        </c:rich>
      </c:tx>
      <c:overlay val="0"/>
    </c:title>
    <c:autoTitleDeleted val="0"/>
    <c:plotArea>
      <c:layout>
        <c:manualLayout>
          <c:layoutTarget val="inner"/>
          <c:xMode val="edge"/>
          <c:yMode val="edge"/>
          <c:x val="7.9078415062077023E-2"/>
          <c:y val="9.5657983038489991E-2"/>
          <c:w val="0.89910493596727636"/>
          <c:h val="0.70126485409257699"/>
        </c:manualLayout>
      </c:layout>
      <c:barChart>
        <c:barDir val="col"/>
        <c:grouping val="clustered"/>
        <c:varyColors val="0"/>
        <c:ser>
          <c:idx val="0"/>
          <c:order val="0"/>
          <c:invertIfNegative val="0"/>
          <c:dPt>
            <c:idx val="0"/>
            <c:invertIfNegative val="0"/>
            <c:bubble3D val="0"/>
            <c:spPr>
              <a:pattFill prst="pct50"/>
            </c:spPr>
          </c:dPt>
          <c:dPt>
            <c:idx val="1"/>
            <c:invertIfNegative val="0"/>
            <c:bubble3D val="0"/>
            <c:spPr>
              <a:pattFill prst="pct50"/>
            </c:spPr>
          </c:dPt>
          <c:dPt>
            <c:idx val="2"/>
            <c:invertIfNegative val="0"/>
            <c:bubble3D val="0"/>
            <c:spPr>
              <a:pattFill prst="pct50"/>
            </c:spPr>
          </c:dPt>
          <c:dPt>
            <c:idx val="3"/>
            <c:invertIfNegative val="0"/>
            <c:bubble3D val="0"/>
            <c:spPr>
              <a:pattFill prst="pct50"/>
            </c:spPr>
          </c:dPt>
          <c:dPt>
            <c:idx val="4"/>
            <c:invertIfNegative val="0"/>
            <c:bubble3D val="0"/>
            <c:spPr>
              <a:solidFill>
                <a:schemeClr val="tx1"/>
              </a:solidFill>
            </c:spPr>
          </c:dPt>
          <c:dPt>
            <c:idx val="5"/>
            <c:invertIfNegative val="0"/>
            <c:bubble3D val="0"/>
            <c:spPr>
              <a:solidFill>
                <a:schemeClr val="tx1"/>
              </a:solidFill>
            </c:spPr>
          </c:dPt>
          <c:dPt>
            <c:idx val="6"/>
            <c:invertIfNegative val="0"/>
            <c:bubble3D val="0"/>
            <c:spPr>
              <a:pattFill prst="pct50"/>
            </c:spPr>
          </c:dPt>
          <c:dPt>
            <c:idx val="7"/>
            <c:invertIfNegative val="0"/>
            <c:bubble3D val="0"/>
            <c:spPr>
              <a:solidFill>
                <a:schemeClr val="tx1"/>
              </a:solidFill>
            </c:spPr>
          </c:dPt>
          <c:dPt>
            <c:idx val="8"/>
            <c:invertIfNegative val="0"/>
            <c:bubble3D val="0"/>
            <c:spPr>
              <a:pattFill prst="pct50"/>
            </c:spPr>
          </c:dPt>
          <c:dPt>
            <c:idx val="9"/>
            <c:invertIfNegative val="0"/>
            <c:bubble3D val="0"/>
            <c:spPr>
              <a:pattFill prst="pct50"/>
            </c:spPr>
          </c:dPt>
          <c:dPt>
            <c:idx val="10"/>
            <c:invertIfNegative val="0"/>
            <c:bubble3D val="0"/>
            <c:spPr>
              <a:pattFill prst="pct50"/>
            </c:spPr>
          </c:dPt>
          <c:dPt>
            <c:idx val="11"/>
            <c:invertIfNegative val="0"/>
            <c:bubble3D val="0"/>
            <c:spPr>
              <a:solidFill>
                <a:schemeClr val="tx1"/>
              </a:solidFill>
            </c:spPr>
          </c:dPt>
          <c:dPt>
            <c:idx val="12"/>
            <c:invertIfNegative val="0"/>
            <c:bubble3D val="0"/>
            <c:spPr>
              <a:pattFill prst="pct50"/>
            </c:spPr>
          </c:dPt>
          <c:dPt>
            <c:idx val="13"/>
            <c:invertIfNegative val="0"/>
            <c:bubble3D val="0"/>
            <c:spPr>
              <a:solidFill>
                <a:schemeClr val="tx1"/>
              </a:solidFill>
            </c:spPr>
          </c:dPt>
          <c:dPt>
            <c:idx val="14"/>
            <c:invertIfNegative val="0"/>
            <c:bubble3D val="0"/>
            <c:spPr>
              <a:solidFill>
                <a:schemeClr val="tx1"/>
              </a:solidFill>
            </c:spPr>
          </c:dPt>
          <c:dPt>
            <c:idx val="15"/>
            <c:invertIfNegative val="0"/>
            <c:bubble3D val="0"/>
            <c:spPr>
              <a:solidFill>
                <a:schemeClr val="tx1"/>
              </a:solidFill>
            </c:spPr>
          </c:dPt>
          <c:dPt>
            <c:idx val="16"/>
            <c:invertIfNegative val="0"/>
            <c:bubble3D val="0"/>
            <c:spPr>
              <a:solidFill>
                <a:schemeClr val="tx1"/>
              </a:solidFill>
            </c:spPr>
          </c:dPt>
          <c:dPt>
            <c:idx val="17"/>
            <c:invertIfNegative val="0"/>
            <c:bubble3D val="0"/>
            <c:spPr>
              <a:pattFill prst="pct50">
                <a:fgClr>
                  <a:schemeClr val="tx1"/>
                </a:fgClr>
                <a:bgClr>
                  <a:schemeClr val="bg1"/>
                </a:bgClr>
              </a:pattFill>
              <a:ln>
                <a:solidFill>
                  <a:schemeClr val="tx1"/>
                </a:solidFill>
              </a:ln>
            </c:spPr>
          </c:dPt>
          <c:dPt>
            <c:idx val="18"/>
            <c:invertIfNegative val="0"/>
            <c:bubble3D val="0"/>
            <c:spPr>
              <a:solidFill>
                <a:schemeClr val="tx1"/>
              </a:solidFill>
            </c:spPr>
          </c:dPt>
          <c:dPt>
            <c:idx val="19"/>
            <c:invertIfNegative val="0"/>
            <c:bubble3D val="0"/>
            <c:spPr>
              <a:solidFill>
                <a:schemeClr val="tx1"/>
              </a:solidFill>
            </c:spPr>
          </c:dPt>
          <c:dPt>
            <c:idx val="20"/>
            <c:invertIfNegative val="0"/>
            <c:bubble3D val="0"/>
            <c:spPr>
              <a:pattFill prst="pct50"/>
              <a:ln>
                <a:solidFill>
                  <a:schemeClr val="tx1"/>
                </a:solidFill>
              </a:ln>
            </c:spPr>
          </c:dPt>
          <c:dPt>
            <c:idx val="21"/>
            <c:invertIfNegative val="0"/>
            <c:bubble3D val="0"/>
            <c:spPr>
              <a:solidFill>
                <a:schemeClr val="tx1"/>
              </a:solidFill>
            </c:spPr>
          </c:dPt>
          <c:dPt>
            <c:idx val="22"/>
            <c:invertIfNegative val="0"/>
            <c:bubble3D val="0"/>
            <c:spPr>
              <a:solidFill>
                <a:schemeClr val="tx1"/>
              </a:solidFill>
            </c:spPr>
          </c:dPt>
          <c:cat>
            <c:strRef>
              <c:f>Sheet1!$A$3:$A$25</c:f>
              <c:strCache>
                <c:ptCount val="23"/>
                <c:pt idx="0">
                  <c:v>Institution</c:v>
                </c:pt>
                <c:pt idx="1">
                  <c:v>BuyClub</c:v>
                </c:pt>
                <c:pt idx="2">
                  <c:v>FoodHub</c:v>
                </c:pt>
                <c:pt idx="3">
                  <c:v>ToFeedlot</c:v>
                </c:pt>
                <c:pt idx="4">
                  <c:v>FarmDirect</c:v>
                </c:pt>
                <c:pt idx="5">
                  <c:v>CSApool</c:v>
                </c:pt>
                <c:pt idx="6">
                  <c:v>WsaleOther</c:v>
                </c:pt>
                <c:pt idx="7">
                  <c:v>Upick</c:v>
                </c:pt>
                <c:pt idx="8">
                  <c:v>BuyPacker</c:v>
                </c:pt>
                <c:pt idx="9">
                  <c:v>Cooperative</c:v>
                </c:pt>
                <c:pt idx="10">
                  <c:v>Distributor</c:v>
                </c:pt>
                <c:pt idx="11">
                  <c:v>WoMHome</c:v>
                </c:pt>
                <c:pt idx="12">
                  <c:v>Auction</c:v>
                </c:pt>
                <c:pt idx="13">
                  <c:v>CommWeb</c:v>
                </c:pt>
                <c:pt idx="14">
                  <c:v>Fairs</c:v>
                </c:pt>
                <c:pt idx="15">
                  <c:v>LiveAnimal</c:v>
                </c:pt>
                <c:pt idx="16">
                  <c:v>CSA</c:v>
                </c:pt>
                <c:pt idx="17">
                  <c:v>Grocery</c:v>
                </c:pt>
                <c:pt idx="18">
                  <c:v>OwnWebsite</c:v>
                </c:pt>
                <c:pt idx="19">
                  <c:v>FreezerTrade</c:v>
                </c:pt>
                <c:pt idx="20">
                  <c:v>Restaurant</c:v>
                </c:pt>
                <c:pt idx="21">
                  <c:v>Farmstand</c:v>
                </c:pt>
                <c:pt idx="22">
                  <c:v>FarmMrkt</c:v>
                </c:pt>
              </c:strCache>
            </c:strRef>
          </c:cat>
          <c:val>
            <c:numRef>
              <c:f>Sheet1!$F$3:$F$25</c:f>
              <c:numCache>
                <c:formatCode>0</c:formatCode>
                <c:ptCount val="23"/>
                <c:pt idx="0">
                  <c:v>0.11560693641618498</c:v>
                </c:pt>
                <c:pt idx="1">
                  <c:v>0.46242774566473993</c:v>
                </c:pt>
                <c:pt idx="2">
                  <c:v>0.46242774566473993</c:v>
                </c:pt>
                <c:pt idx="3">
                  <c:v>0.92485549132947986</c:v>
                </c:pt>
                <c:pt idx="4">
                  <c:v>1.5028901734104045</c:v>
                </c:pt>
                <c:pt idx="5">
                  <c:v>1.6184971098265895</c:v>
                </c:pt>
                <c:pt idx="6">
                  <c:v>1.6184971098265895</c:v>
                </c:pt>
                <c:pt idx="7">
                  <c:v>1.9653179190751446</c:v>
                </c:pt>
                <c:pt idx="8">
                  <c:v>2.0809248554913293</c:v>
                </c:pt>
                <c:pt idx="9">
                  <c:v>2.6589595375722546</c:v>
                </c:pt>
                <c:pt idx="10">
                  <c:v>2.7745664739884393</c:v>
                </c:pt>
                <c:pt idx="11">
                  <c:v>2.7745664739884393</c:v>
                </c:pt>
                <c:pt idx="12">
                  <c:v>3.352601156069364</c:v>
                </c:pt>
                <c:pt idx="13">
                  <c:v>3.8150289017341041</c:v>
                </c:pt>
                <c:pt idx="14">
                  <c:v>3.8150289017341041</c:v>
                </c:pt>
                <c:pt idx="15">
                  <c:v>5.5491329479768785</c:v>
                </c:pt>
                <c:pt idx="16">
                  <c:v>5.7803468208092488</c:v>
                </c:pt>
                <c:pt idx="17">
                  <c:v>6.1271676300578033</c:v>
                </c:pt>
                <c:pt idx="18">
                  <c:v>6.1271676300578033</c:v>
                </c:pt>
                <c:pt idx="19">
                  <c:v>7.0520231213872835</c:v>
                </c:pt>
                <c:pt idx="20">
                  <c:v>7.7456647398843934</c:v>
                </c:pt>
                <c:pt idx="21">
                  <c:v>14.104046242774567</c:v>
                </c:pt>
                <c:pt idx="22">
                  <c:v>17.572254335260116</c:v>
                </c:pt>
              </c:numCache>
            </c:numRef>
          </c:val>
        </c:ser>
        <c:dLbls>
          <c:showLegendKey val="0"/>
          <c:showVal val="0"/>
          <c:showCatName val="0"/>
          <c:showSerName val="0"/>
          <c:showPercent val="0"/>
          <c:showBubbleSize val="0"/>
        </c:dLbls>
        <c:gapWidth val="150"/>
        <c:axId val="198118016"/>
        <c:axId val="198119808"/>
      </c:barChart>
      <c:catAx>
        <c:axId val="198118016"/>
        <c:scaling>
          <c:orientation val="minMax"/>
        </c:scaling>
        <c:delete val="0"/>
        <c:axPos val="b"/>
        <c:majorTickMark val="none"/>
        <c:minorTickMark val="none"/>
        <c:tickLblPos val="nextTo"/>
        <c:crossAx val="198119808"/>
        <c:crosses val="autoZero"/>
        <c:auto val="1"/>
        <c:lblAlgn val="ctr"/>
        <c:lblOffset val="100"/>
        <c:noMultiLvlLbl val="0"/>
      </c:catAx>
      <c:valAx>
        <c:axId val="198119808"/>
        <c:scaling>
          <c:orientation val="minMax"/>
        </c:scaling>
        <c:delete val="0"/>
        <c:axPos val="l"/>
        <c:majorGridlines/>
        <c:title>
          <c:tx>
            <c:rich>
              <a:bodyPr/>
              <a:lstStyle/>
              <a:p>
                <a:pPr>
                  <a:defRPr/>
                </a:pPr>
                <a:r>
                  <a:rPr lang="en-US"/>
                  <a:t>Percent</a:t>
                </a:r>
                <a:r>
                  <a:rPr lang="en-US" baseline="0"/>
                  <a:t> of Responses (865)</a:t>
                </a:r>
                <a:endParaRPr lang="en-US"/>
              </a:p>
            </c:rich>
          </c:tx>
          <c:overlay val="0"/>
        </c:title>
        <c:numFmt formatCode="0" sourceLinked="1"/>
        <c:majorTickMark val="none"/>
        <c:minorTickMark val="none"/>
        <c:tickLblPos val="nextTo"/>
        <c:crossAx val="19811801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Market Channels of Interest</a:t>
            </a:r>
          </a:p>
        </c:rich>
      </c:tx>
      <c:overlay val="1"/>
    </c:title>
    <c:autoTitleDeleted val="0"/>
    <c:plotArea>
      <c:layout>
        <c:manualLayout>
          <c:layoutTarget val="inner"/>
          <c:xMode val="edge"/>
          <c:yMode val="edge"/>
          <c:x val="6.0199365323237032E-2"/>
          <c:y val="0.13476850637839252"/>
          <c:w val="0.90263454873018922"/>
          <c:h val="0.64620325840744386"/>
        </c:manualLayout>
      </c:layout>
      <c:barChart>
        <c:barDir val="col"/>
        <c:grouping val="clustered"/>
        <c:varyColors val="0"/>
        <c:ser>
          <c:idx val="0"/>
          <c:order val="0"/>
          <c:spPr>
            <a:ln>
              <a:noFill/>
            </a:ln>
          </c:spPr>
          <c:invertIfNegative val="0"/>
          <c:dPt>
            <c:idx val="0"/>
            <c:invertIfNegative val="0"/>
            <c:bubble3D val="0"/>
            <c:spPr>
              <a:solidFill>
                <a:schemeClr val="tx1"/>
              </a:solidFill>
              <a:ln>
                <a:noFill/>
              </a:ln>
            </c:spPr>
          </c:dPt>
          <c:dPt>
            <c:idx val="1"/>
            <c:invertIfNegative val="0"/>
            <c:bubble3D val="0"/>
            <c:spPr>
              <a:pattFill prst="pct50"/>
              <a:ln>
                <a:noFill/>
              </a:ln>
            </c:spPr>
          </c:dPt>
          <c:dPt>
            <c:idx val="2"/>
            <c:invertIfNegative val="0"/>
            <c:bubble3D val="0"/>
            <c:spPr>
              <a:pattFill prst="pct50"/>
              <a:ln>
                <a:noFill/>
              </a:ln>
            </c:spPr>
          </c:dPt>
          <c:dPt>
            <c:idx val="3"/>
            <c:invertIfNegative val="0"/>
            <c:bubble3D val="0"/>
            <c:spPr>
              <a:pattFill prst="pct50"/>
              <a:ln>
                <a:noFill/>
              </a:ln>
            </c:spPr>
          </c:dPt>
          <c:dPt>
            <c:idx val="4"/>
            <c:invertIfNegative val="0"/>
            <c:bubble3D val="0"/>
            <c:spPr>
              <a:solidFill>
                <a:schemeClr val="tx1"/>
              </a:solidFill>
              <a:ln>
                <a:noFill/>
              </a:ln>
            </c:spPr>
          </c:dPt>
          <c:dPt>
            <c:idx val="5"/>
            <c:invertIfNegative val="0"/>
            <c:bubble3D val="0"/>
            <c:spPr>
              <a:pattFill prst="pct50"/>
              <a:ln>
                <a:noFill/>
              </a:ln>
            </c:spPr>
          </c:dPt>
          <c:dPt>
            <c:idx val="6"/>
            <c:invertIfNegative val="0"/>
            <c:bubble3D val="0"/>
            <c:spPr>
              <a:solidFill>
                <a:schemeClr val="tx1"/>
              </a:solidFill>
              <a:ln>
                <a:noFill/>
              </a:ln>
            </c:spPr>
          </c:dPt>
          <c:dPt>
            <c:idx val="7"/>
            <c:invertIfNegative val="0"/>
            <c:bubble3D val="0"/>
            <c:spPr>
              <a:pattFill prst="pct50"/>
              <a:ln>
                <a:noFill/>
              </a:ln>
            </c:spPr>
          </c:dPt>
          <c:dPt>
            <c:idx val="8"/>
            <c:invertIfNegative val="0"/>
            <c:bubble3D val="0"/>
            <c:spPr>
              <a:solidFill>
                <a:schemeClr val="tx1"/>
              </a:solidFill>
              <a:ln>
                <a:noFill/>
              </a:ln>
            </c:spPr>
          </c:dPt>
          <c:dPt>
            <c:idx val="9"/>
            <c:invertIfNegative val="0"/>
            <c:bubble3D val="0"/>
            <c:spPr>
              <a:solidFill>
                <a:schemeClr val="tx1"/>
              </a:solidFill>
              <a:ln>
                <a:noFill/>
              </a:ln>
            </c:spPr>
          </c:dPt>
          <c:dPt>
            <c:idx val="10"/>
            <c:invertIfNegative val="0"/>
            <c:bubble3D val="0"/>
            <c:spPr>
              <a:pattFill prst="pct50"/>
              <a:ln>
                <a:noFill/>
              </a:ln>
            </c:spPr>
          </c:dPt>
          <c:dPt>
            <c:idx val="11"/>
            <c:invertIfNegative val="0"/>
            <c:bubble3D val="0"/>
            <c:spPr>
              <a:solidFill>
                <a:schemeClr val="tx1"/>
              </a:solidFill>
              <a:ln>
                <a:noFill/>
              </a:ln>
            </c:spPr>
          </c:dPt>
          <c:dPt>
            <c:idx val="12"/>
            <c:invertIfNegative val="0"/>
            <c:bubble3D val="0"/>
            <c:spPr>
              <a:pattFill prst="pct50"/>
              <a:ln>
                <a:noFill/>
              </a:ln>
            </c:spPr>
          </c:dPt>
          <c:dPt>
            <c:idx val="13"/>
            <c:invertIfNegative val="0"/>
            <c:bubble3D val="0"/>
            <c:spPr>
              <a:pattFill prst="pct50"/>
              <a:ln>
                <a:noFill/>
              </a:ln>
            </c:spPr>
          </c:dPt>
          <c:dPt>
            <c:idx val="14"/>
            <c:invertIfNegative val="0"/>
            <c:bubble3D val="0"/>
            <c:spPr>
              <a:solidFill>
                <a:schemeClr val="tx1"/>
              </a:solidFill>
              <a:ln>
                <a:noFill/>
              </a:ln>
            </c:spPr>
          </c:dPt>
          <c:dPt>
            <c:idx val="15"/>
            <c:invertIfNegative val="0"/>
            <c:bubble3D val="0"/>
            <c:spPr>
              <a:solidFill>
                <a:schemeClr val="tx1"/>
              </a:solidFill>
              <a:ln>
                <a:noFill/>
              </a:ln>
            </c:spPr>
          </c:dPt>
          <c:dPt>
            <c:idx val="16"/>
            <c:invertIfNegative val="0"/>
            <c:bubble3D val="0"/>
            <c:spPr>
              <a:solidFill>
                <a:schemeClr val="tx1"/>
              </a:solidFill>
              <a:ln>
                <a:noFill/>
              </a:ln>
            </c:spPr>
          </c:dPt>
          <c:dPt>
            <c:idx val="17"/>
            <c:invertIfNegative val="0"/>
            <c:bubble3D val="0"/>
            <c:spPr>
              <a:pattFill prst="pct50"/>
              <a:ln>
                <a:noFill/>
              </a:ln>
            </c:spPr>
          </c:dPt>
          <c:dPt>
            <c:idx val="18"/>
            <c:invertIfNegative val="0"/>
            <c:bubble3D val="0"/>
            <c:spPr>
              <a:pattFill prst="pct50">
                <a:fgClr>
                  <a:schemeClr val="tx1"/>
                </a:fgClr>
                <a:bgClr>
                  <a:schemeClr val="bg1"/>
                </a:bgClr>
              </a:pattFill>
              <a:ln w="25400" cap="flat" cmpd="sng" algn="ctr">
                <a:noFill/>
                <a:prstDash val="solid"/>
              </a:ln>
              <a:effectLst/>
            </c:spPr>
          </c:dPt>
          <c:cat>
            <c:strRef>
              <c:f>Sheet2!$A$13:$A$31</c:f>
              <c:strCache>
                <c:ptCount val="19"/>
                <c:pt idx="0">
                  <c:v>Fairs</c:v>
                </c:pt>
                <c:pt idx="1">
                  <c:v>Institution</c:v>
                </c:pt>
                <c:pt idx="2">
                  <c:v>Auction</c:v>
                </c:pt>
                <c:pt idx="3">
                  <c:v>Livesales</c:v>
                </c:pt>
                <c:pt idx="4">
                  <c:v>Upick</c:v>
                </c:pt>
                <c:pt idx="5">
                  <c:v>BuyingClub</c:v>
                </c:pt>
                <c:pt idx="6">
                  <c:v>CommWeb</c:v>
                </c:pt>
                <c:pt idx="7">
                  <c:v>buyer</c:v>
                </c:pt>
                <c:pt idx="8">
                  <c:v>Freezer</c:v>
                </c:pt>
                <c:pt idx="9">
                  <c:v>FarmMkt</c:v>
                </c:pt>
                <c:pt idx="10">
                  <c:v>Distributor</c:v>
                </c:pt>
                <c:pt idx="11">
                  <c:v>PoolCSA</c:v>
                </c:pt>
                <c:pt idx="12">
                  <c:v>Coop</c:v>
                </c:pt>
                <c:pt idx="13">
                  <c:v>Grocery</c:v>
                </c:pt>
                <c:pt idx="14">
                  <c:v>Online</c:v>
                </c:pt>
                <c:pt idx="15">
                  <c:v>CSA</c:v>
                </c:pt>
                <c:pt idx="16">
                  <c:v>Farmstand</c:v>
                </c:pt>
                <c:pt idx="17">
                  <c:v>FoodHub</c:v>
                </c:pt>
                <c:pt idx="18">
                  <c:v>Restaurant</c:v>
                </c:pt>
              </c:strCache>
            </c:strRef>
          </c:cat>
          <c:val>
            <c:numRef>
              <c:f>Sheet2!$C$13:$C$31</c:f>
              <c:numCache>
                <c:formatCode>General</c:formatCode>
                <c:ptCount val="19"/>
                <c:pt idx="0">
                  <c:v>0.40322580645161288</c:v>
                </c:pt>
                <c:pt idx="1">
                  <c:v>0.40322580645161288</c:v>
                </c:pt>
                <c:pt idx="2">
                  <c:v>1.2096774193548387</c:v>
                </c:pt>
                <c:pt idx="3">
                  <c:v>1.6129032258064515</c:v>
                </c:pt>
                <c:pt idx="4">
                  <c:v>2.0161290322580645</c:v>
                </c:pt>
                <c:pt idx="5">
                  <c:v>2.82258064516129</c:v>
                </c:pt>
                <c:pt idx="6">
                  <c:v>3.225806451612903</c:v>
                </c:pt>
                <c:pt idx="7">
                  <c:v>4.032258064516129</c:v>
                </c:pt>
                <c:pt idx="8">
                  <c:v>4.032258064516129</c:v>
                </c:pt>
                <c:pt idx="9">
                  <c:v>4.838709677419355</c:v>
                </c:pt>
                <c:pt idx="10">
                  <c:v>5.6451612903225801</c:v>
                </c:pt>
                <c:pt idx="11">
                  <c:v>6.0483870967741939</c:v>
                </c:pt>
                <c:pt idx="12">
                  <c:v>6.4516129032258061</c:v>
                </c:pt>
                <c:pt idx="13">
                  <c:v>7.2580645161290329</c:v>
                </c:pt>
                <c:pt idx="14">
                  <c:v>7.2580645161290329</c:v>
                </c:pt>
                <c:pt idx="15">
                  <c:v>8.064516129032258</c:v>
                </c:pt>
                <c:pt idx="16">
                  <c:v>9.2741935483870961</c:v>
                </c:pt>
                <c:pt idx="17">
                  <c:v>10.080645161290322</c:v>
                </c:pt>
                <c:pt idx="18">
                  <c:v>15.32258064516129</c:v>
                </c:pt>
              </c:numCache>
            </c:numRef>
          </c:val>
        </c:ser>
        <c:dLbls>
          <c:showLegendKey val="0"/>
          <c:showVal val="0"/>
          <c:showCatName val="0"/>
          <c:showSerName val="0"/>
          <c:showPercent val="0"/>
          <c:showBubbleSize val="0"/>
        </c:dLbls>
        <c:gapWidth val="150"/>
        <c:axId val="198288512"/>
        <c:axId val="198290048"/>
      </c:barChart>
      <c:catAx>
        <c:axId val="198288512"/>
        <c:scaling>
          <c:orientation val="minMax"/>
        </c:scaling>
        <c:delete val="0"/>
        <c:axPos val="b"/>
        <c:majorTickMark val="out"/>
        <c:minorTickMark val="none"/>
        <c:tickLblPos val="nextTo"/>
        <c:crossAx val="198290048"/>
        <c:crosses val="autoZero"/>
        <c:auto val="1"/>
        <c:lblAlgn val="ctr"/>
        <c:lblOffset val="100"/>
        <c:noMultiLvlLbl val="0"/>
      </c:catAx>
      <c:valAx>
        <c:axId val="198290048"/>
        <c:scaling>
          <c:orientation val="minMax"/>
        </c:scaling>
        <c:delete val="0"/>
        <c:axPos val="l"/>
        <c:majorGridlines/>
        <c:numFmt formatCode="General" sourceLinked="1"/>
        <c:majorTickMark val="out"/>
        <c:minorTickMark val="none"/>
        <c:tickLblPos val="nextTo"/>
        <c:crossAx val="19828851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0.47123</cdr:x>
      <cdr:y>0.88599</cdr:y>
    </cdr:from>
    <cdr:to>
      <cdr:x>0.96986</cdr:x>
      <cdr:y>1</cdr:y>
    </cdr:to>
    <cdr:sp macro="" textlink="">
      <cdr:nvSpPr>
        <cdr:cNvPr id="2" name="TextBox 1"/>
        <cdr:cNvSpPr txBox="1"/>
      </cdr:nvSpPr>
      <cdr:spPr>
        <a:xfrm xmlns:a="http://schemas.openxmlformats.org/drawingml/2006/main">
          <a:off x="1638300" y="1776413"/>
          <a:ext cx="173355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0.39332</cdr:x>
      <cdr:y>0.83848</cdr:y>
    </cdr:from>
    <cdr:to>
      <cdr:x>0.8536</cdr:x>
      <cdr:y>0.9715</cdr:y>
    </cdr:to>
    <cdr:sp macro="" textlink="">
      <cdr:nvSpPr>
        <cdr:cNvPr id="3" name="TextBox 2"/>
        <cdr:cNvSpPr txBox="1"/>
      </cdr:nvSpPr>
      <cdr:spPr>
        <a:xfrm xmlns:a="http://schemas.openxmlformats.org/drawingml/2006/main">
          <a:off x="1161390" y="1541399"/>
          <a:ext cx="1359092" cy="2445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 58% farming</a:t>
          </a:r>
          <a:r>
            <a:rPr lang="en-US" sz="1000" baseline="0"/>
            <a:t> less than 10 years </a:t>
          </a:r>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0.11643</cdr:x>
      <cdr:y>0.18081</cdr:y>
    </cdr:from>
    <cdr:to>
      <cdr:x>0.25865</cdr:x>
      <cdr:y>0.31611</cdr:y>
    </cdr:to>
    <cdr:sp macro="" textlink="">
      <cdr:nvSpPr>
        <cdr:cNvPr id="2" name="TextBox 1"/>
        <cdr:cNvSpPr txBox="1"/>
      </cdr:nvSpPr>
      <cdr:spPr>
        <a:xfrm xmlns:a="http://schemas.openxmlformats.org/drawingml/2006/main">
          <a:off x="881066" y="700088"/>
          <a:ext cx="10763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0.11643</cdr:x>
      <cdr:y>0.19803</cdr:y>
    </cdr:from>
    <cdr:to>
      <cdr:x>0.3141</cdr:x>
      <cdr:y>0.38524</cdr:y>
    </cdr:to>
    <cdr:sp macro="" textlink="">
      <cdr:nvSpPr>
        <cdr:cNvPr id="3" name="TextBox 2"/>
        <cdr:cNvSpPr txBox="1"/>
      </cdr:nvSpPr>
      <cdr:spPr>
        <a:xfrm xmlns:a="http://schemas.openxmlformats.org/drawingml/2006/main">
          <a:off x="692013" y="616924"/>
          <a:ext cx="1174887" cy="583225"/>
        </a:xfrm>
        <a:prstGeom xmlns:a="http://schemas.openxmlformats.org/drawingml/2006/main" prst="rect">
          <a:avLst/>
        </a:prstGeom>
        <a:solidFill xmlns:a="http://schemas.openxmlformats.org/drawingml/2006/main">
          <a:schemeClr val="bg1">
            <a:lumMod val="95000"/>
          </a:schemeClr>
        </a:solidFill>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t>    </a:t>
          </a:r>
          <a:r>
            <a:rPr lang="en-US" sz="1100" baseline="0"/>
            <a:t>Direct Market</a:t>
          </a:r>
          <a:endParaRPr lang="en-US" sz="1100"/>
        </a:p>
        <a:p xmlns:a="http://schemas.openxmlformats.org/drawingml/2006/main">
          <a:r>
            <a:rPr lang="en-US" sz="1100" baseline="0"/>
            <a:t>    </a:t>
          </a:r>
          <a:r>
            <a:rPr lang="en-US" sz="1100"/>
            <a:t>Wholesale</a:t>
          </a:r>
        </a:p>
      </cdr:txBody>
    </cdr:sp>
  </cdr:relSizeAnchor>
  <cdr:relSizeAnchor xmlns:cdr="http://schemas.openxmlformats.org/drawingml/2006/chartDrawing">
    <cdr:from>
      <cdr:x>0.12398</cdr:x>
      <cdr:y>0.22755</cdr:y>
    </cdr:from>
    <cdr:to>
      <cdr:x>0.13782</cdr:x>
      <cdr:y>0.24969</cdr:y>
    </cdr:to>
    <cdr:sp macro="" textlink="">
      <cdr:nvSpPr>
        <cdr:cNvPr id="4" name="Rectangle 3"/>
        <cdr:cNvSpPr/>
      </cdr:nvSpPr>
      <cdr:spPr>
        <a:xfrm xmlns:a="http://schemas.openxmlformats.org/drawingml/2006/main">
          <a:off x="938216" y="881063"/>
          <a:ext cx="104775" cy="85725"/>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0.12343</cdr:x>
      <cdr:y>0.29402</cdr:y>
    </cdr:from>
    <cdr:to>
      <cdr:x>0.13727</cdr:x>
      <cdr:y>0.31616</cdr:y>
    </cdr:to>
    <cdr:sp macro="" textlink="">
      <cdr:nvSpPr>
        <cdr:cNvPr id="5" name="Rectangle 4"/>
        <cdr:cNvSpPr/>
      </cdr:nvSpPr>
      <cdr:spPr>
        <a:xfrm xmlns:a="http://schemas.openxmlformats.org/drawingml/2006/main">
          <a:off x="733603" y="915955"/>
          <a:ext cx="82260" cy="68973"/>
        </a:xfrm>
        <a:prstGeom xmlns:a="http://schemas.openxmlformats.org/drawingml/2006/main" prst="rect">
          <a:avLst/>
        </a:prstGeom>
        <a:pattFill xmlns:a="http://schemas.openxmlformats.org/drawingml/2006/main" prst="pct50">
          <a:fgClr>
            <a:schemeClr val="bg1">
              <a:lumMod val="95000"/>
            </a:schemeClr>
          </a:fgClr>
          <a:bgClr>
            <a:schemeClr val="tx1"/>
          </a:bgClr>
        </a:patt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0.09166</cdr:x>
      <cdr:y>0.19361</cdr:y>
    </cdr:from>
    <cdr:to>
      <cdr:x>0.31533</cdr:x>
      <cdr:y>0.3313</cdr:y>
    </cdr:to>
    <cdr:sp macro="" textlink="">
      <cdr:nvSpPr>
        <cdr:cNvPr id="2" name="TextBox 2"/>
        <cdr:cNvSpPr txBox="1"/>
      </cdr:nvSpPr>
      <cdr:spPr>
        <a:xfrm xmlns:a="http://schemas.openxmlformats.org/drawingml/2006/main">
          <a:off x="501164" y="603946"/>
          <a:ext cx="1222861" cy="429517"/>
        </a:xfrm>
        <a:prstGeom xmlns:a="http://schemas.openxmlformats.org/drawingml/2006/main" prst="rect">
          <a:avLst/>
        </a:prstGeom>
        <a:solidFill xmlns:a="http://schemas.openxmlformats.org/drawingml/2006/main">
          <a:schemeClr val="bg1">
            <a:lumMod val="95000"/>
          </a:schemeClr>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t>    </a:t>
          </a:r>
          <a:r>
            <a:rPr lang="en-US" sz="1100" baseline="0"/>
            <a:t>Direct Market</a:t>
          </a:r>
          <a:endParaRPr lang="en-US" sz="1100"/>
        </a:p>
        <a:p xmlns:a="http://schemas.openxmlformats.org/drawingml/2006/main">
          <a:r>
            <a:rPr lang="en-US" sz="1100" baseline="0"/>
            <a:t>    </a:t>
          </a:r>
          <a:r>
            <a:rPr lang="en-US" sz="1100"/>
            <a:t>Wholesale</a:t>
          </a:r>
        </a:p>
      </cdr:txBody>
    </cdr:sp>
  </cdr:relSizeAnchor>
  <cdr:relSizeAnchor xmlns:cdr="http://schemas.openxmlformats.org/drawingml/2006/chartDrawing">
    <cdr:from>
      <cdr:x>0.0993</cdr:x>
      <cdr:y>0.22748</cdr:y>
    </cdr:from>
    <cdr:to>
      <cdr:x>0.12195</cdr:x>
      <cdr:y>0.25496</cdr:y>
    </cdr:to>
    <cdr:sp macro="" textlink="">
      <cdr:nvSpPr>
        <cdr:cNvPr id="3" name="Rectangle 2"/>
        <cdr:cNvSpPr/>
      </cdr:nvSpPr>
      <cdr:spPr>
        <a:xfrm xmlns:a="http://schemas.openxmlformats.org/drawingml/2006/main">
          <a:off x="542925" y="709613"/>
          <a:ext cx="123825" cy="85725"/>
        </a:xfrm>
        <a:prstGeom xmlns:a="http://schemas.openxmlformats.org/drawingml/2006/main" prst="rect">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0.09756</cdr:x>
      <cdr:y>0.28855</cdr:y>
    </cdr:from>
    <cdr:to>
      <cdr:x>0.12369</cdr:x>
      <cdr:y>0.31603</cdr:y>
    </cdr:to>
    <cdr:sp macro="" textlink="">
      <cdr:nvSpPr>
        <cdr:cNvPr id="5" name="Rectangle 4"/>
        <cdr:cNvSpPr/>
      </cdr:nvSpPr>
      <cdr:spPr>
        <a:xfrm xmlns:a="http://schemas.openxmlformats.org/drawingml/2006/main">
          <a:off x="533400" y="900113"/>
          <a:ext cx="142875" cy="85725"/>
        </a:xfrm>
        <a:prstGeom xmlns:a="http://schemas.openxmlformats.org/drawingml/2006/main" prst="rect">
          <a:avLst/>
        </a:prstGeom>
        <a:solidFill xmlns:a="http://schemas.openxmlformats.org/drawingml/2006/main">
          <a:schemeClr val="bg1">
            <a:lumMod val="85000"/>
          </a:schemeClr>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1194</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dcterms:created xsi:type="dcterms:W3CDTF">2014-03-09T19:31:00Z</dcterms:created>
  <dcterms:modified xsi:type="dcterms:W3CDTF">2014-03-10T18:36:00Z</dcterms:modified>
</cp:coreProperties>
</file>